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spacing w:before="90" w:after="70" w:line="270" w:lineRule="auto"/>
        <w:keepNext/>
        <w:outlineLvl w:val="1"/>
        <w:widowControl/>
      </w:pPr>
      <w:r>
        <w:rPr>
          <w:rFonts w:ascii="Arial" w:hAnsi="Arial"/>
          <w:sz w:val="23"/>
          <w:color w:val="087E8B"/>
          <w:b/>
        </w:rPr>
        <w:t xml:space="preserve">DATATHON 2026 · TEAM DATACRAFT</w:t>
      </w:r>
    </w:p>
    <w:p>
      <w:pPr>
        <w:spacing w:before="0" w:after="0" w:line="900" w:lineRule="exact"/>
      </w:pPr>
    </w:p>
    <w:p>
      <w:pPr>
        <w:spacing w:before="40" w:after="300" w:line="270" w:lineRule="auto"/>
        <w:keepNext/>
        <w:outlineLvl w:val="0"/>
        <w:widowControl/>
      </w:pPr>
      <w:r>
        <w:rPr>
          <w:rFonts w:ascii="Arial" w:hAnsi="Arial"/>
          <w:sz w:val="66"/>
          <w:color w:val="142D45"/>
          <w:b/>
        </w:rPr>
        <w:t xml:space="preserve">UrbanFlow</w:t>
      </w:r>
      <w:r>
        <w:br/>
      </w:r>
      <w:r>
        <w:rPr>
          <w:rFonts w:ascii="Arial" w:hAnsi="Arial"/>
          <w:sz w:val="66"/>
          <w:color w:val="142D45"/>
          <w:b/>
        </w:rPr>
        <w:t xml:space="preserve">Analytics</w:t>
      </w:r>
    </w:p>
    <w:p>
      <w:pPr>
        <w:spacing w:before="0" w:after="200" w:line="270" w:lineRule="auto"/>
        <w:keepNext/>
        <w:outlineLvl w:val="0"/>
        <w:widowControl/>
      </w:pPr>
      <w:r>
        <w:rPr>
          <w:rFonts w:ascii="Arial" w:hAnsi="Arial"/>
          <w:sz w:val="38"/>
          <w:color w:val="142D45"/>
          <w:b/>
        </w:rPr>
        <w:t xml:space="preserve">Architecture &amp; Comprehensive</w:t>
      </w:r>
      <w:r>
        <w:br/>
      </w:r>
      <w:r>
        <w:rPr>
          <w:rFonts w:ascii="Arial" w:hAnsi="Arial"/>
          <w:sz w:val="38"/>
          <w:color w:val="142D45"/>
          <w:b/>
        </w:rPr>
        <w:t xml:space="preserve">Technical Report</w:t>
      </w:r>
    </w:p>
    <w:p>
      <w:pPr>
        <w:spacing w:before="0" w:after="120" w:line="270" w:lineRule="auto"/>
        <w:widowControl/>
      </w:pPr>
      <w:r>
        <w:rPr>
          <w:rFonts w:ascii="Arial" w:hAnsi="Arial"/>
          <w:sz w:val="19"/>
          <w:color w:val="142D45"/>
        </w:rPr>
        <w:t xml:space="preserve">From taxi trip records to fare estimates, arrival predictions, demand forecasts, and operational decisions.</w:t>
      </w:r>
    </w:p>
    <w:p>
      <w:pPr>
        <w:spacing w:before="0" w:after="0" w:line="500" w:lineRule="exact"/>
      </w:pPr>
    </w:p>
    <w:tbl>
      <w:tblPr>
        <w:tblW w:w="9900" w:type="dxa"/>
        <w:tblLayout w:type="fixed"/>
        <w:tblCellMar>
          <w:top w:w="90" w:type="dxa"/>
          <w:left w:w="130" w:type="dxa"/>
          <w:bottom w:w="90" w:type="dxa"/>
          <w:right w:w="130" w:type="dxa"/>
        </w:tblCellMar>
        <w:tblBorders>
          <w:insideH w:val="single" w:sz="3" w:color="CFDCE3"/>
        </w:tblBorders>
      </w:tblPr>
      <w:tblGrid>
        <w:gridCol w:w="4100"/>
        <w:gridCol w:w="5800"/>
      </w:tblGrid>
      <w:tr>
        <w:trPr>
          <w:cantSplit/>
          <w:tblHeader/>
        </w:trPr>
        <w:tc>
          <w:tcPr>
            <w:tcW w:w="4100" w:type="dxa"/>
            <w:shd w:fill="EAF3F6"/>
          </w:tcPr>
          <w:p>
            <w:pPr>
              <w:spacing w:before="0" w:after="0" w:line="240" w:lineRule="auto"/>
              <w:widowControl/>
            </w:pPr>
            <w:r>
              <w:rPr>
                <w:rFonts w:ascii="Arial" w:hAnsi="Arial"/>
                <w:sz w:val="17"/>
                <w:color w:val="142D45"/>
              </w:rPr>
              <w:t xml:space="preserve">Submission specification</w:t>
            </w:r>
          </w:p>
        </w:tc>
        <w:tc>
          <w:tcPr>
            <w:tcW w:w="5800" w:type="dxa"/>
            <w:shd w:fill="EAF3F6"/>
          </w:tcPr>
          <w:p>
            <w:pPr>
              <w:spacing w:before="0" w:after="0" w:line="240" w:lineRule="auto"/>
              <w:widowControl/>
            </w:pPr>
            <w:r>
              <w:rPr>
                <w:rFonts w:ascii="Arial" w:hAnsi="Arial"/>
                <w:sz w:val="17"/>
                <w:color w:val="142D45"/>
              </w:rPr>
              <w:t xml:space="preserve">Coverage</w:t>
            </w:r>
          </w:p>
        </w:tc>
      </w:tr>
      <w:tr>
        <w:trPr>
          <w:cantSplit/>
        </w:trPr>
        <w:tc>
          <w:tcPr>
            <w:tcW w:w="4100" w:type="dxa"/>
          </w:tcPr>
          <w:p>
            <w:pPr>
              <w:spacing w:before="0" w:after="0" w:line="240" w:lineRule="auto"/>
              <w:widowControl/>
            </w:pPr>
            <w:r>
              <w:rPr>
                <w:rFonts w:ascii="Arial" w:hAnsi="Arial"/>
                <w:sz w:val="17"/>
                <w:color w:val="142D45"/>
              </w:rPr>
              <w:t xml:space="preserve">Preprocessing &amp; feature engineering</w:t>
            </w:r>
          </w:p>
        </w:tc>
        <w:tc>
          <w:tcPr>
            <w:tcW w:w="5800" w:type="dxa"/>
          </w:tcPr>
          <w:p>
            <w:pPr>
              <w:spacing w:before="0" w:after="0" w:line="240" w:lineRule="auto"/>
              <w:widowControl/>
            </w:pPr>
            <w:r>
              <w:rPr>
                <w:rFonts w:ascii="Arial" w:hAnsi="Arial"/>
                <w:sz w:val="17"/>
                <w:color w:val="142D45"/>
              </w:rPr>
              <w:t xml:space="preserve">One dedicated page (page 3)</w:t>
            </w:r>
          </w:p>
        </w:tc>
      </w:tr>
      <w:tr>
        <w:trPr>
          <w:cantSplit/>
        </w:trPr>
        <w:tc>
          <w:tcPr>
            <w:tcW w:w="4100" w:type="dxa"/>
          </w:tcPr>
          <w:p>
            <w:pPr>
              <w:spacing w:before="0" w:after="0" w:line="240" w:lineRule="auto"/>
              <w:widowControl/>
            </w:pPr>
            <w:r>
              <w:rPr>
                <w:rFonts w:ascii="Arial" w:hAnsi="Arial"/>
                <w:sz w:val="17"/>
                <w:color w:val="142D45"/>
              </w:rPr>
              <w:t xml:space="preserve">Model development methodology</w:t>
            </w:r>
          </w:p>
        </w:tc>
        <w:tc>
          <w:tcPr>
            <w:tcW w:w="5800" w:type="dxa"/>
          </w:tcPr>
          <w:p>
            <w:pPr>
              <w:spacing w:before="0" w:after="0" w:line="240" w:lineRule="auto"/>
              <w:widowControl/>
            </w:pPr>
            <w:r>
              <w:rPr>
                <w:rFonts w:ascii="Arial" w:hAnsi="Arial"/>
                <w:sz w:val="17"/>
                <w:color w:val="142D45"/>
              </w:rPr>
              <w:t xml:space="preserve">Pages 5–11</w:t>
            </w:r>
          </w:p>
        </w:tc>
      </w:tr>
      <w:tr>
        <w:trPr>
          <w:cantSplit/>
        </w:trPr>
        <w:tc>
          <w:tcPr>
            <w:tcW w:w="4100" w:type="dxa"/>
          </w:tcPr>
          <w:p>
            <w:pPr>
              <w:spacing w:before="0" w:after="0" w:line="240" w:lineRule="auto"/>
              <w:widowControl/>
            </w:pPr>
            <w:r>
              <w:rPr>
                <w:rFonts w:ascii="Arial" w:hAnsi="Arial"/>
                <w:sz w:val="17"/>
                <w:color w:val="142D45"/>
              </w:rPr>
              <w:t xml:space="preserve">Evaluation metrics &amp; results</w:t>
            </w:r>
          </w:p>
        </w:tc>
        <w:tc>
          <w:tcPr>
            <w:tcW w:w="5800" w:type="dxa"/>
          </w:tcPr>
          <w:p>
            <w:pPr>
              <w:spacing w:before="0" w:after="0" w:line="240" w:lineRule="auto"/>
              <w:widowControl/>
            </w:pPr>
            <w:r>
              <w:rPr>
                <w:rFonts w:ascii="Arial" w:hAnsi="Arial"/>
                <w:sz w:val="17"/>
                <w:color w:val="142D45"/>
              </w:rPr>
              <w:t xml:space="preserve">Pages 6–10 and 12</w:t>
            </w:r>
          </w:p>
        </w:tc>
      </w:tr>
      <w:tr>
        <w:trPr>
          <w:cantSplit/>
        </w:trPr>
        <w:tc>
          <w:tcPr>
            <w:tcW w:w="4100" w:type="dxa"/>
          </w:tcPr>
          <w:p>
            <w:pPr>
              <w:spacing w:before="0" w:after="0" w:line="240" w:lineRule="auto"/>
              <w:widowControl/>
            </w:pPr>
            <w:r>
              <w:rPr>
                <w:rFonts w:ascii="Arial" w:hAnsi="Arial"/>
                <w:sz w:val="17"/>
                <w:color w:val="142D45"/>
              </w:rPr>
              <w:t xml:space="preserve">Findings, business implications &amp; conclusions</w:t>
            </w:r>
          </w:p>
        </w:tc>
        <w:tc>
          <w:tcPr>
            <w:tcW w:w="5800" w:type="dxa"/>
          </w:tcPr>
          <w:p>
            <w:pPr>
              <w:spacing w:before="0" w:after="0" w:line="240" w:lineRule="auto"/>
              <w:widowControl/>
            </w:pPr>
            <w:r>
              <w:rPr>
                <w:rFonts w:ascii="Arial" w:hAnsi="Arial"/>
                <w:sz w:val="17"/>
                <w:color w:val="142D45"/>
              </w:rPr>
              <w:t xml:space="preserve">Pages 2, 12–13</w:t>
            </w:r>
          </w:p>
        </w:tc>
      </w:tr>
      <w:tr>
        <w:trPr>
          <w:cantSplit/>
        </w:trPr>
        <w:tc>
          <w:tcPr>
            <w:tcW w:w="4100" w:type="dxa"/>
          </w:tcPr>
          <w:p>
            <w:pPr>
              <w:spacing w:before="0" w:after="0" w:line="240" w:lineRule="auto"/>
              <w:widowControl/>
            </w:pPr>
            <w:r>
              <w:rPr>
                <w:rFonts w:ascii="Arial" w:hAnsi="Arial"/>
                <w:sz w:val="17"/>
                <w:color w:val="142D45"/>
              </w:rPr>
              <w:t xml:space="preserve">Complete solution architecture diagram</w:t>
            </w:r>
          </w:p>
        </w:tc>
        <w:tc>
          <w:tcPr>
            <w:tcW w:w="5800" w:type="dxa"/>
          </w:tcPr>
          <w:p>
            <w:pPr>
              <w:spacing w:before="0" w:after="0" w:line="240" w:lineRule="auto"/>
              <w:widowControl/>
            </w:pPr>
            <w:r>
              <w:rPr>
                <w:rFonts w:ascii="Arial" w:hAnsi="Arial"/>
                <w:sz w:val="17"/>
                <w:color w:val="142D45"/>
              </w:rPr>
              <w:t xml:space="preserve">Page 4</w:t>
            </w:r>
          </w:p>
        </w:tc>
      </w:tr>
      <w:tr>
        <w:trPr>
          <w:cantSplit/>
        </w:trPr>
        <w:tc>
          <w:tcPr>
            <w:tcW w:w="4100" w:type="dxa"/>
          </w:tcPr>
          <w:p>
            <w:pPr>
              <w:spacing w:before="0" w:after="0" w:line="240" w:lineRule="auto"/>
              <w:widowControl/>
            </w:pPr>
            <w:r>
              <w:rPr>
                <w:rFonts w:ascii="Arial" w:hAnsi="Arial"/>
                <w:sz w:val="17"/>
                <w:color w:val="142D45"/>
              </w:rPr>
              <w:t xml:space="preserve">Total report length</w:t>
            </w:r>
          </w:p>
        </w:tc>
        <w:tc>
          <w:tcPr>
            <w:tcW w:w="5800" w:type="dxa"/>
          </w:tcPr>
          <w:p>
            <w:pPr>
              <w:spacing w:before="0" w:after="0" w:line="240" w:lineRule="auto"/>
              <w:widowControl/>
            </w:pPr>
            <w:r>
              <w:rPr>
                <w:rFonts w:ascii="Arial" w:hAnsi="Arial"/>
                <w:sz w:val="17"/>
                <w:color w:val="142D45"/>
              </w:rPr>
              <w:t xml:space="preserve">14 pages, including cover and source register</w:t>
            </w:r>
          </w:p>
        </w:tc>
      </w:tr>
    </w:tbl>
    <w:p>
      <w:pPr>
        <w:spacing w:before="0" w:after="0" w:line="200" w:lineRule="exact"/>
      </w:pPr>
    </w:p>
    <w:p>
      <w:pPr>
        <w:spacing w:before="90" w:after="70" w:line="270" w:lineRule="auto"/>
        <w:keepNext/>
        <w:outlineLvl w:val="1"/>
        <w:widowControl/>
      </w:pPr>
      <w:r>
        <w:rPr>
          <w:rFonts w:ascii="Arial" w:hAnsi="Arial"/>
          <w:sz w:val="23"/>
          <w:color w:val="087E8B"/>
          <w:b/>
        </w:rPr>
        <w:t xml:space="preserve">Prepared 11 September 2026</w:t>
      </w:r>
    </w:p>
    <w:p>
      <w:pPr>
        <w:spacing w:before="0" w:after="70" w:line="270" w:lineRule="auto"/>
        <w:widowControl/>
      </w:pPr>
      <w:r>
        <w:rPr>
          <w:rFonts w:ascii="Arial" w:hAnsi="Arial"/>
          <w:sz w:val="16"/>
          <w:color w:val="142D45"/>
        </w:rPr>
        <w:t xml:space="preserve">Evidence basis: repository source code, saved notebook outputs, exported analytical reports, and a fresh aggregate-demand backtest. Previously saved model scores are identified as such; no model retraining was performed for this report.</w:t>
      </w:r>
    </w:p>
    <w:p>
      <w:r>
        <w:br w:type="page"/>
      </w:r>
    </w:p>
    <w:p>
      <w:pPr>
        <w:spacing w:before="0" w:after="200" w:line="270" w:lineRule="auto"/>
        <w:keepNext/>
        <w:outlineLvl w:val="0"/>
        <w:widowControl/>
      </w:pPr>
      <w:r>
        <w:rPr>
          <w:rFonts w:ascii="Arial" w:hAnsi="Arial"/>
          <w:sz w:val="38"/>
          <w:color w:val="142D45"/>
          <w:b/>
        </w:rPr>
        <w:t xml:space="preserve">02 / Executive summary</w:t>
      </w:r>
    </w:p>
    <w:p>
      <w:pPr>
        <w:spacing w:before="0" w:after="120" w:line="270" w:lineRule="auto"/>
        <w:widowControl/>
      </w:pPr>
      <w:r>
        <w:rPr>
          <w:rFonts w:ascii="Arial" w:hAnsi="Arial"/>
          <w:sz w:val="19"/>
          <w:color w:val="142D45"/>
        </w:rPr>
        <w:t xml:space="preserve">UrbanFlow combines predictive machine learning and descriptive analytics in one Streamlit application. Passengers can estimate a base fare and arrival time; dispatchers can inspect pickup demand and zone behavior; managers can explore revenue patterns and operational scenarios. A structured natural-language interface makes the underlying trip data accessible without requiring users to write SQL.</w:t>
      </w:r>
    </w:p>
    <w:tbl>
      <w:tblPr>
        <w:tblW w:w="9900" w:type="dxa"/>
        <w:tblLayout w:type="fixed"/>
        <w:tblCellMar>
          <w:top w:w="90" w:type="dxa"/>
          <w:left w:w="130" w:type="dxa"/>
          <w:bottom w:w="90" w:type="dxa"/>
          <w:right w:w="130" w:type="dxa"/>
        </w:tblCellMar>
        <w:tblBorders>
          <w:insideH w:val="single" w:sz="3" w:color="CFDCE3"/>
        </w:tblBorders>
      </w:tblPr>
      <w:tblGrid>
        <w:gridCol w:w="2240"/>
        <w:gridCol w:w="4200"/>
        <w:gridCol w:w="3460"/>
      </w:tblGrid>
      <w:tr>
        <w:trPr>
          <w:cantSplit/>
          <w:tblHeader/>
        </w:trPr>
        <w:tc>
          <w:tcPr>
            <w:tcW w:w="2240" w:type="dxa"/>
            <w:shd w:fill="EAF3F6"/>
          </w:tcPr>
          <w:p>
            <w:pPr>
              <w:spacing w:before="0" w:after="0" w:line="240" w:lineRule="auto"/>
              <w:widowControl/>
            </w:pPr>
            <w:r>
              <w:rPr>
                <w:rFonts w:ascii="Arial" w:hAnsi="Arial"/>
                <w:sz w:val="17"/>
                <w:color w:val="142D45"/>
              </w:rPr>
              <w:t xml:space="preserve">Component</w:t>
            </w:r>
          </w:p>
        </w:tc>
        <w:tc>
          <w:tcPr>
            <w:tcW w:w="4200" w:type="dxa"/>
            <w:shd w:fill="EAF3F6"/>
          </w:tcPr>
          <w:p>
            <w:pPr>
              <w:spacing w:before="0" w:after="0" w:line="240" w:lineRule="auto"/>
              <w:widowControl/>
            </w:pPr>
            <w:r>
              <w:rPr>
                <w:rFonts w:ascii="Arial" w:hAnsi="Arial"/>
                <w:sz w:val="17"/>
                <w:color w:val="142D45"/>
              </w:rPr>
              <w:t xml:space="preserve">Principal result</w:t>
            </w:r>
          </w:p>
        </w:tc>
        <w:tc>
          <w:tcPr>
            <w:tcW w:w="3460" w:type="dxa"/>
            <w:shd w:fill="EAF3F6"/>
          </w:tcPr>
          <w:p>
            <w:pPr>
              <w:spacing w:before="0" w:after="0" w:line="240" w:lineRule="auto"/>
              <w:widowControl/>
            </w:pPr>
            <w:r>
              <w:rPr>
                <w:rFonts w:ascii="Arial" w:hAnsi="Arial"/>
                <w:sz w:val="17"/>
                <w:color w:val="142D45"/>
              </w:rPr>
              <w:t xml:space="preserve">Evidence status</w:t>
            </w:r>
          </w:p>
        </w:tc>
      </w:tr>
      <w:tr>
        <w:trPr>
          <w:cantSplit/>
        </w:trPr>
        <w:tc>
          <w:tcPr>
            <w:tcW w:w="2240" w:type="dxa"/>
          </w:tcPr>
          <w:p>
            <w:pPr>
              <w:spacing w:before="0" w:after="0" w:line="240" w:lineRule="auto"/>
              <w:widowControl/>
            </w:pPr>
            <w:r>
              <w:rPr>
                <w:rFonts w:ascii="Arial" w:hAnsi="Arial"/>
                <w:sz w:val="17"/>
                <w:color w:val="142D45"/>
              </w:rPr>
              <w:t xml:space="preserve">Data foundation</w:t>
            </w:r>
          </w:p>
        </w:tc>
        <w:tc>
          <w:tcPr>
            <w:tcW w:w="4200" w:type="dxa"/>
          </w:tcPr>
          <w:p>
            <w:pPr>
              <w:spacing w:before="0" w:after="0" w:line="240" w:lineRule="auto"/>
              <w:widowControl/>
            </w:pPr>
            <w:r>
              <w:rPr>
                <w:rFonts w:ascii="Arial" w:hAnsi="Arial"/>
                <w:sz w:val="17"/>
                <w:color w:val="142D45"/>
              </w:rPr>
              <w:t xml:space="preserve">45,956,110 cleaned trips; 94.56% retained</w:t>
            </w:r>
          </w:p>
        </w:tc>
        <w:tc>
          <w:tcPr>
            <w:tcW w:w="3460" w:type="dxa"/>
          </w:tcPr>
          <w:p>
            <w:pPr>
              <w:spacing w:before="0" w:after="0" w:line="240" w:lineRule="auto"/>
              <w:widowControl/>
            </w:pPr>
            <w:r>
              <w:rPr>
                <w:rFonts w:ascii="Arial" w:hAnsi="Arial"/>
                <w:sz w:val="17"/>
                <w:color w:val="142D45"/>
              </w:rPr>
              <w:t xml:space="preserve">Exported quality report; row count verified</w:t>
            </w:r>
          </w:p>
        </w:tc>
      </w:tr>
      <w:tr>
        <w:trPr>
          <w:cantSplit/>
        </w:trPr>
        <w:tc>
          <w:tcPr>
            <w:tcW w:w="2240" w:type="dxa"/>
          </w:tcPr>
          <w:p>
            <w:pPr>
              <w:spacing w:before="0" w:after="0" w:line="240" w:lineRule="auto"/>
              <w:widowControl/>
            </w:pPr>
            <w:r>
              <w:rPr>
                <w:rFonts w:ascii="Arial" w:hAnsi="Arial"/>
                <w:sz w:val="17"/>
                <w:color w:val="142D45"/>
              </w:rPr>
              <w:t xml:space="preserve">Fare prediction</w:t>
            </w:r>
          </w:p>
        </w:tc>
        <w:tc>
          <w:tcPr>
            <w:tcW w:w="4200" w:type="dxa"/>
          </w:tcPr>
          <w:p>
            <w:pPr>
              <w:spacing w:before="0" w:after="0" w:line="240" w:lineRule="auto"/>
              <w:widowControl/>
            </w:pPr>
            <w:r>
              <w:rPr>
                <w:rFonts w:ascii="Arial" w:hAnsi="Arial"/>
                <w:sz w:val="17"/>
                <w:color w:val="142D45"/>
              </w:rPr>
              <w:t xml:space="preserve">LightGBM saved test MAE $4.5969</w:t>
            </w:r>
          </w:p>
        </w:tc>
        <w:tc>
          <w:tcPr>
            <w:tcW w:w="3460" w:type="dxa"/>
          </w:tcPr>
          <w:p>
            <w:pPr>
              <w:spacing w:before="0" w:after="0" w:line="240" w:lineRule="auto"/>
              <w:widowControl/>
            </w:pPr>
            <w:r>
              <w:rPr>
                <w:rFonts w:ascii="Arial" w:hAnsi="Arial"/>
                <w:sz w:val="17"/>
                <w:color w:val="142D45"/>
              </w:rPr>
              <w:t xml:space="preserve">Notebook result; split audit required</w:t>
            </w:r>
          </w:p>
        </w:tc>
      </w:tr>
      <w:tr>
        <w:trPr>
          <w:cantSplit/>
        </w:trPr>
        <w:tc>
          <w:tcPr>
            <w:tcW w:w="2240" w:type="dxa"/>
          </w:tcPr>
          <w:p>
            <w:pPr>
              <w:spacing w:before="0" w:after="0" w:line="240" w:lineRule="auto"/>
              <w:widowControl/>
            </w:pPr>
            <w:r>
              <w:rPr>
                <w:rFonts w:ascii="Arial" w:hAnsi="Arial"/>
                <w:sz w:val="17"/>
                <w:color w:val="142D45"/>
              </w:rPr>
              <w:t xml:space="preserve">Arrival estimation</w:t>
            </w:r>
          </w:p>
        </w:tc>
        <w:tc>
          <w:tcPr>
            <w:tcW w:w="4200" w:type="dxa"/>
          </w:tcPr>
          <w:p>
            <w:pPr>
              <w:spacing w:before="0" w:after="0" w:line="240" w:lineRule="auto"/>
              <w:widowControl/>
            </w:pPr>
            <w:r>
              <w:rPr>
                <w:rFonts w:ascii="Arial" w:hAnsi="Arial"/>
                <w:sz w:val="17"/>
                <w:color w:val="142D45"/>
              </w:rPr>
              <w:t xml:space="preserve">Test MAE 6.8857 min; 81.48% within 10 min</w:t>
            </w:r>
          </w:p>
        </w:tc>
        <w:tc>
          <w:tcPr>
            <w:tcW w:w="3460" w:type="dxa"/>
          </w:tcPr>
          <w:p>
            <w:pPr>
              <w:spacing w:before="0" w:after="0" w:line="240" w:lineRule="auto"/>
              <w:widowControl/>
            </w:pPr>
            <w:r>
              <w:rPr>
                <w:rFonts w:ascii="Arial" w:hAnsi="Arial"/>
                <w:sz w:val="17"/>
                <w:color w:val="142D45"/>
              </w:rPr>
              <w:t xml:space="preserve">Saved notebook evaluation</w:t>
            </w:r>
          </w:p>
        </w:tc>
      </w:tr>
      <w:tr>
        <w:trPr>
          <w:cantSplit/>
        </w:trPr>
        <w:tc>
          <w:tcPr>
            <w:tcW w:w="2240" w:type="dxa"/>
          </w:tcPr>
          <w:p>
            <w:pPr>
              <w:spacing w:before="0" w:after="0" w:line="240" w:lineRule="auto"/>
              <w:widowControl/>
            </w:pPr>
            <w:r>
              <w:rPr>
                <w:rFonts w:ascii="Arial" w:hAnsi="Arial"/>
                <w:sz w:val="17"/>
                <w:color w:val="142D45"/>
              </w:rPr>
              <w:t xml:space="preserve">Fleet demand model</w:t>
            </w:r>
          </w:p>
        </w:tc>
        <w:tc>
          <w:tcPr>
            <w:tcW w:w="4200" w:type="dxa"/>
          </w:tcPr>
          <w:p>
            <w:pPr>
              <w:spacing w:before="0" w:after="0" w:line="240" w:lineRule="auto"/>
              <w:widowControl/>
            </w:pPr>
            <w:r>
              <w:rPr>
                <w:rFonts w:ascii="Arial" w:hAnsi="Arial"/>
                <w:sz w:val="17"/>
                <w:color w:val="142D45"/>
              </w:rPr>
              <w:t xml:space="preserve">72-hour forecast for 10 zones; mean horizon WAPE 32.7%</w:t>
            </w:r>
          </w:p>
        </w:tc>
        <w:tc>
          <w:tcPr>
            <w:tcW w:w="3460" w:type="dxa"/>
          </w:tcPr>
          <w:p>
            <w:pPr>
              <w:spacing w:before="0" w:after="0" w:line="240" w:lineRule="auto"/>
              <w:widowControl/>
            </w:pPr>
            <w:r>
              <w:rPr>
                <w:rFonts w:ascii="Arial" w:hAnsi="Arial"/>
                <w:sz w:val="17"/>
                <w:color w:val="142D45"/>
              </w:rPr>
              <w:t xml:space="preserve">Saved notebook evaluation</w:t>
            </w:r>
          </w:p>
        </w:tc>
      </w:tr>
      <w:tr>
        <w:trPr>
          <w:cantSplit/>
        </w:trPr>
        <w:tc>
          <w:tcPr>
            <w:tcW w:w="2240" w:type="dxa"/>
          </w:tcPr>
          <w:p>
            <w:pPr>
              <w:spacing w:before="0" w:after="0" w:line="240" w:lineRule="auto"/>
              <w:widowControl/>
            </w:pPr>
            <w:r>
              <w:rPr>
                <w:rFonts w:ascii="Arial" w:hAnsi="Arial"/>
                <w:sz w:val="17"/>
                <w:color w:val="142D45"/>
              </w:rPr>
              <w:t xml:space="preserve">Dashboard demand baseline</w:t>
            </w:r>
          </w:p>
        </w:tc>
        <w:tc>
          <w:tcPr>
            <w:tcW w:w="4200" w:type="dxa"/>
          </w:tcPr>
          <w:p>
            <w:pPr>
              <w:spacing w:before="0" w:after="0" w:line="240" w:lineRule="auto"/>
              <w:widowControl/>
            </w:pPr>
            <w:r>
              <w:rPr>
                <w:rFonts w:ascii="Arial" w:hAnsi="Arial"/>
                <w:sz w:val="17"/>
                <w:color w:val="142D45"/>
              </w:rPr>
              <w:t xml:space="preserve">Last-week aggregate WAPE 9.43%</w:t>
            </w:r>
          </w:p>
        </w:tc>
        <w:tc>
          <w:tcPr>
            <w:tcW w:w="3460" w:type="dxa"/>
          </w:tcPr>
          <w:p>
            <w:pPr>
              <w:spacing w:before="0" w:after="0" w:line="240" w:lineRule="auto"/>
              <w:widowControl/>
            </w:pPr>
            <w:r>
              <w:rPr>
                <w:rFonts w:ascii="Arial" w:hAnsi="Arial"/>
                <w:sz w:val="17"/>
                <w:color w:val="142D45"/>
              </w:rPr>
              <w:t xml:space="preserve">Fresh fixed-origin backtest</w:t>
            </w:r>
          </w:p>
        </w:tc>
      </w:tr>
      <w:tr>
        <w:trPr>
          <w:cantSplit/>
        </w:trPr>
        <w:tc>
          <w:tcPr>
            <w:tcW w:w="2240" w:type="dxa"/>
          </w:tcPr>
          <w:p>
            <w:pPr>
              <w:spacing w:before="0" w:after="0" w:line="240" w:lineRule="auto"/>
              <w:widowControl/>
            </w:pPr>
            <w:r>
              <w:rPr>
                <w:rFonts w:ascii="Arial" w:hAnsi="Arial"/>
                <w:sz w:val="17"/>
                <w:color w:val="142D45"/>
              </w:rPr>
              <w:t xml:space="preserve">Zone clustering</w:t>
            </w:r>
          </w:p>
        </w:tc>
        <w:tc>
          <w:tcPr>
            <w:tcW w:w="4200" w:type="dxa"/>
          </w:tcPr>
          <w:p>
            <w:pPr>
              <w:spacing w:before="0" w:after="0" w:line="240" w:lineRule="auto"/>
              <w:widowControl/>
            </w:pPr>
            <w:r>
              <w:rPr>
                <w:rFonts w:ascii="Arial" w:hAnsi="Arial"/>
                <w:sz w:val="17"/>
                <w:color w:val="142D45"/>
              </w:rPr>
              <w:t xml:space="preserve">Five clusters; silhouette 0.2819</w:t>
            </w:r>
          </w:p>
        </w:tc>
        <w:tc>
          <w:tcPr>
            <w:tcW w:w="3460" w:type="dxa"/>
          </w:tcPr>
          <w:p>
            <w:pPr>
              <w:spacing w:before="0" w:after="0" w:line="240" w:lineRule="auto"/>
              <w:widowControl/>
            </w:pPr>
            <w:r>
              <w:rPr>
                <w:rFonts w:ascii="Arial" w:hAnsi="Arial"/>
                <w:sz w:val="17"/>
                <w:color w:val="142D45"/>
              </w:rPr>
              <w:t xml:space="preserve">Exported diagnostic results</w:t>
            </w:r>
          </w:p>
        </w:tc>
      </w:tr>
    </w:tbl>
    <w:p>
      <w:pPr>
        <w:spacing w:before="0" w:after="0" w:line="200" w:lineRule="exact"/>
      </w:pPr>
    </w:p>
    <w:p>
      <w:pPr>
        <w:spacing w:before="90" w:after="70" w:line="270" w:lineRule="auto"/>
        <w:keepNext/>
        <w:outlineLvl w:val="1"/>
        <w:widowControl/>
      </w:pPr>
      <w:r>
        <w:rPr>
          <w:rFonts w:ascii="Arial" w:hAnsi="Arial"/>
          <w:sz w:val="23"/>
          <w:color w:val="087E8B"/>
          <w:b/>
        </w:rPr>
        <w:t xml:space="preserve">Main findings</w:t>
      </w:r>
    </w:p>
    <w:p>
      <w:pPr>
        <w:spacing w:before="0" w:after="120" w:line="270" w:lineRule="auto"/>
        <w:widowControl/>
      </w:pPr>
      <w:r>
        <w:rPr>
          <w:rFonts w:ascii="Arial" w:hAnsi="Arial"/>
          <w:sz w:val="19"/>
          <w:color w:val="142D45"/>
        </w:rPr>
        <w:t xml:space="preserve">Tree models improve fare validation error relative to the stored median and linear baselines. Arrival estimates are more reliable for shorter trips and substantially less reliable for journeys longer than 45 minutes. Demand varies by hour and zone, supporting differentiated staging decisions rather than one city-wide dispatch rule.</w:t>
      </w:r>
    </w:p>
    <w:p>
      <w:pPr>
        <w:spacing w:before="90" w:after="70" w:line="270" w:lineRule="auto"/>
        <w:keepNext/>
        <w:outlineLvl w:val="1"/>
        <w:widowControl/>
      </w:pPr>
      <w:r>
        <w:rPr>
          <w:rFonts w:ascii="Arial" w:hAnsi="Arial"/>
          <w:sz w:val="23"/>
          <w:color w:val="087E8B"/>
          <w:b/>
        </w:rPr>
        <w:t xml:space="preserve">Business interpretation</w:t>
      </w:r>
    </w:p>
    <w:p>
      <w:pPr>
        <w:spacing w:before="0" w:after="120" w:line="270" w:lineRule="auto"/>
        <w:widowControl/>
      </w:pPr>
      <w:r>
        <w:rPr>
          <w:rFonts w:ascii="Arial" w:hAnsi="Arial"/>
          <w:sz w:val="19"/>
          <w:color w:val="142D45"/>
        </w:rPr>
        <w:t xml:space="preserve">The repository simulates $25.97 million in annual driver benefit from tip-related assumptions and reduced empty mileage. This is a scenario output, not measured profit or a causal intervention result. Cash-tip under-recording, corridor asymmetry, and occupied-trip revenue metrics require careful interpretation before operational investment. [S8]</w:t>
      </w:r>
    </w:p>
    <w:p>
      <w:pPr>
        <w:spacing w:before="0" w:after="120" w:line="270" w:lineRule="auto"/>
        <w:widowControl/>
      </w:pPr>
      <w:r>
        <w:rPr>
          <w:rFonts w:ascii="Arial" w:hAnsi="Arial"/>
          <w:sz w:val="19"/>
          <w:color w:val="142D45"/>
        </w:rPr>
        <w:t xml:space="preserve">The strongest current deliverable is an integrated analytical prototype with usable dashboard modules and traceable model experiments. Reproducible temporal splits, complete model packaging, and stronger multi-period validation are the priorities before claiming production readiness.</w:t>
      </w:r>
    </w:p>
    <w:p>
      <w:r>
        <w:br w:type="page"/>
      </w:r>
    </w:p>
    <w:p>
      <w:pPr>
        <w:spacing w:before="0" w:after="200" w:line="270" w:lineRule="auto"/>
        <w:keepNext/>
        <w:outlineLvl w:val="0"/>
        <w:widowControl/>
      </w:pPr>
      <w:r>
        <w:rPr>
          <w:rFonts w:ascii="Arial" w:hAnsi="Arial"/>
          <w:sz w:val="38"/>
          <w:color w:val="142D45"/>
          <w:b/>
        </w:rPr>
        <w:t xml:space="preserve">03 / Data preprocessing &amp; feature engineering</w:t>
      </w:r>
    </w:p>
    <w:p>
      <w:pPr>
        <w:spacing w:before="0" w:after="120" w:line="270" w:lineRule="auto"/>
        <w:widowControl/>
      </w:pPr>
      <w:r>
        <w:rPr>
          <w:rFonts w:ascii="Arial" w:hAnsi="Arial"/>
          <w:sz w:val="19"/>
          <w:color w:val="142D45"/>
        </w:rPr>
        <w:t xml:space="preserve">The intended observation window is 1 April 2025 to 31 March 2026. The exported quality summary records 48,601,782 raw rows, 45,956,110 cleaned rows, and 2,645,672 removals (5.44%). These figures supersede inconsistent README/dashboard totals. A fresh Parquet scan confirmed the cleaned count and found 13 timestamps outside the intended window. Temporal modeling must explicitly enforce the date boundary. [S1, S10]</w:t>
      </w:r>
    </w:p>
    <w:tbl>
      <w:tblPr>
        <w:tblW w:w="9900" w:type="dxa"/>
        <w:tblLayout w:type="fixed"/>
        <w:tblCellMar>
          <w:top w:w="90" w:type="dxa"/>
          <w:left w:w="130" w:type="dxa"/>
          <w:bottom w:w="90" w:type="dxa"/>
          <w:right w:w="130" w:type="dxa"/>
        </w:tblCellMar>
        <w:tblBorders>
          <w:insideH w:val="single" w:sz="3" w:color="CFDCE3"/>
        </w:tblBorders>
      </w:tblPr>
      <w:tblGrid>
        <w:gridCol w:w="3520"/>
        <w:gridCol w:w="1920"/>
        <w:gridCol w:w="4460"/>
      </w:tblGrid>
      <w:tr>
        <w:trPr>
          <w:cantSplit/>
          <w:tblHeader/>
        </w:trPr>
        <w:tc>
          <w:tcPr>
            <w:tcW w:w="3520" w:type="dxa"/>
            <w:shd w:fill="EAF3F6"/>
          </w:tcPr>
          <w:p>
            <w:pPr>
              <w:spacing w:before="0" w:after="0" w:line="240" w:lineRule="auto"/>
              <w:widowControl/>
            </w:pPr>
            <w:r>
              <w:rPr>
                <w:rFonts w:ascii="Arial" w:hAnsi="Arial"/>
                <w:sz w:val="17"/>
                <w:color w:val="142D45"/>
              </w:rPr>
              <w:t xml:space="preserve">Data issue</w:t>
            </w:r>
          </w:p>
        </w:tc>
        <w:tc>
          <w:tcPr>
            <w:tcW w:w="1920" w:type="dxa"/>
            <w:shd w:fill="EAF3F6"/>
          </w:tcPr>
          <w:p>
            <w:pPr>
              <w:spacing w:before="0" w:after="0" w:line="240" w:lineRule="auto"/>
              <w:widowControl/>
            </w:pPr>
            <w:r>
              <w:rPr>
                <w:rFonts w:ascii="Arial" w:hAnsi="Arial"/>
                <w:sz w:val="17"/>
                <w:color w:val="142D45"/>
              </w:rPr>
              <w:t xml:space="preserve">Affected raw rows</w:t>
            </w:r>
          </w:p>
        </w:tc>
        <w:tc>
          <w:tcPr>
            <w:tcW w:w="4460" w:type="dxa"/>
            <w:shd w:fill="EAF3F6"/>
          </w:tcPr>
          <w:p>
            <w:pPr>
              <w:spacing w:before="0" w:after="0" w:line="240" w:lineRule="auto"/>
              <w:widowControl/>
            </w:pPr>
            <w:r>
              <w:rPr>
                <w:rFonts w:ascii="Arial" w:hAnsi="Arial"/>
                <w:sz w:val="17"/>
                <w:color w:val="142D45"/>
              </w:rPr>
              <w:t xml:space="preserve">Recorded treatment</w:t>
            </w:r>
          </w:p>
        </w:tc>
      </w:tr>
      <w:tr>
        <w:trPr>
          <w:cantSplit/>
        </w:trPr>
        <w:tc>
          <w:tcPr>
            <w:tcW w:w="3520" w:type="dxa"/>
          </w:tcPr>
          <w:p>
            <w:pPr>
              <w:spacing w:before="0" w:after="0" w:line="240" w:lineRule="auto"/>
              <w:widowControl/>
            </w:pPr>
            <w:r>
              <w:rPr>
                <w:rFonts w:ascii="Arial" w:hAnsi="Arial"/>
                <w:sz w:val="17"/>
                <w:color w:val="142D45"/>
              </w:rPr>
              <w:t xml:space="preserve">Negative base fare</w:t>
            </w:r>
          </w:p>
        </w:tc>
        <w:tc>
          <w:tcPr>
            <w:tcW w:w="1920" w:type="dxa"/>
          </w:tcPr>
          <w:p>
            <w:pPr>
              <w:spacing w:before="0" w:after="0" w:line="240" w:lineRule="auto"/>
              <w:widowControl/>
            </w:pPr>
            <w:r>
              <w:rPr>
                <w:rFonts w:ascii="Arial" w:hAnsi="Arial"/>
                <w:sz w:val="17"/>
                <w:color w:val="142D45"/>
              </w:rPr>
              <w:t xml:space="preserve">2,400,031</w:t>
            </w:r>
          </w:p>
        </w:tc>
        <w:tc>
          <w:tcPr>
            <w:tcW w:w="4460" w:type="dxa"/>
          </w:tcPr>
          <w:p>
            <w:pPr>
              <w:spacing w:before="0" w:after="0" w:line="240" w:lineRule="auto"/>
              <w:widowControl/>
            </w:pPr>
            <w:r>
              <w:rPr>
                <w:rFonts w:ascii="Arial" w:hAnsi="Arial"/>
                <w:sz w:val="17"/>
                <w:color w:val="142D45"/>
              </w:rPr>
              <w:t xml:space="preserve">Exclude from normal fare modeling</w:t>
            </w:r>
          </w:p>
        </w:tc>
      </w:tr>
      <w:tr>
        <w:trPr>
          <w:cantSplit/>
        </w:trPr>
        <w:tc>
          <w:tcPr>
            <w:tcW w:w="3520" w:type="dxa"/>
          </w:tcPr>
          <w:p>
            <w:pPr>
              <w:spacing w:before="0" w:after="0" w:line="240" w:lineRule="auto"/>
              <w:widowControl/>
            </w:pPr>
            <w:r>
              <w:rPr>
                <w:rFonts w:ascii="Arial" w:hAnsi="Arial"/>
                <w:sz w:val="17"/>
                <w:color w:val="142D45"/>
              </w:rPr>
              <w:t xml:space="preserve">Zero distance with nonzero fare</w:t>
            </w:r>
          </w:p>
        </w:tc>
        <w:tc>
          <w:tcPr>
            <w:tcW w:w="1920" w:type="dxa"/>
          </w:tcPr>
          <w:p>
            <w:pPr>
              <w:spacing w:before="0" w:after="0" w:line="240" w:lineRule="auto"/>
              <w:widowControl/>
            </w:pPr>
            <w:r>
              <w:rPr>
                <w:rFonts w:ascii="Arial" w:hAnsi="Arial"/>
                <w:sz w:val="17"/>
                <w:color w:val="142D45"/>
              </w:rPr>
              <w:t xml:space="preserve">1,471,745</w:t>
            </w:r>
          </w:p>
        </w:tc>
        <w:tc>
          <w:tcPr>
            <w:tcW w:w="4460" w:type="dxa"/>
          </w:tcPr>
          <w:p>
            <w:pPr>
              <w:spacing w:before="0" w:after="0" w:line="240" w:lineRule="auto"/>
              <w:widowControl/>
            </w:pPr>
            <w:r>
              <w:rPr>
                <w:rFonts w:ascii="Arial" w:hAnsi="Arial"/>
                <w:sz w:val="17"/>
                <w:color w:val="142D45"/>
              </w:rPr>
              <w:t xml:space="preserve">Task-specific movement/speed filter</w:t>
            </w:r>
          </w:p>
        </w:tc>
      </w:tr>
      <w:tr>
        <w:trPr>
          <w:cantSplit/>
        </w:trPr>
        <w:tc>
          <w:tcPr>
            <w:tcW w:w="3520" w:type="dxa"/>
          </w:tcPr>
          <w:p>
            <w:pPr>
              <w:spacing w:before="0" w:after="0" w:line="240" w:lineRule="auto"/>
              <w:widowControl/>
            </w:pPr>
            <w:r>
              <w:rPr>
                <w:rFonts w:ascii="Arial" w:hAnsi="Arial"/>
                <w:sz w:val="17"/>
                <w:color w:val="142D45"/>
              </w:rPr>
              <w:t xml:space="preserve">Zero rider count</w:t>
            </w:r>
          </w:p>
        </w:tc>
        <w:tc>
          <w:tcPr>
            <w:tcW w:w="1920" w:type="dxa"/>
          </w:tcPr>
          <w:p>
            <w:pPr>
              <w:spacing w:before="0" w:after="0" w:line="240" w:lineRule="auto"/>
              <w:widowControl/>
            </w:pPr>
            <w:r>
              <w:rPr>
                <w:rFonts w:ascii="Arial" w:hAnsi="Arial"/>
                <w:sz w:val="17"/>
                <w:color w:val="142D45"/>
              </w:rPr>
              <w:t xml:space="preserve">231,578</w:t>
            </w:r>
          </w:p>
        </w:tc>
        <w:tc>
          <w:tcPr>
            <w:tcW w:w="4460" w:type="dxa"/>
          </w:tcPr>
          <w:p>
            <w:pPr>
              <w:spacing w:before="0" w:after="0" w:line="240" w:lineRule="auto"/>
              <w:widowControl/>
            </w:pPr>
            <w:r>
              <w:rPr>
                <w:rFonts w:ascii="Arial" w:hAnsi="Arial"/>
                <w:sz w:val="17"/>
                <w:color w:val="142D45"/>
              </w:rPr>
              <w:t xml:space="preserve">Filter passenger-dependent analysis</w:t>
            </w:r>
          </w:p>
        </w:tc>
      </w:tr>
      <w:tr>
        <w:trPr>
          <w:cantSplit/>
        </w:trPr>
        <w:tc>
          <w:tcPr>
            <w:tcW w:w="3520" w:type="dxa"/>
          </w:tcPr>
          <w:p>
            <w:pPr>
              <w:spacing w:before="0" w:after="0" w:line="240" w:lineRule="auto"/>
              <w:widowControl/>
            </w:pPr>
            <w:r>
              <w:rPr>
                <w:rFonts w:ascii="Arial" w:hAnsi="Arial"/>
                <w:sz w:val="17"/>
                <w:color w:val="142D45"/>
              </w:rPr>
              <w:t xml:space="preserve">Drop-off before pickup</w:t>
            </w:r>
          </w:p>
        </w:tc>
        <w:tc>
          <w:tcPr>
            <w:tcW w:w="1920" w:type="dxa"/>
          </w:tcPr>
          <w:p>
            <w:pPr>
              <w:spacing w:before="0" w:after="0" w:line="240" w:lineRule="auto"/>
              <w:widowControl/>
            </w:pPr>
            <w:r>
              <w:rPr>
                <w:rFonts w:ascii="Arial" w:hAnsi="Arial"/>
                <w:sz w:val="17"/>
                <w:color w:val="142D45"/>
              </w:rPr>
              <w:t xml:space="preserve">1,942</w:t>
            </w:r>
          </w:p>
        </w:tc>
        <w:tc>
          <w:tcPr>
            <w:tcW w:w="4460" w:type="dxa"/>
          </w:tcPr>
          <w:p>
            <w:pPr>
              <w:spacing w:before="0" w:after="0" w:line="240" w:lineRule="auto"/>
              <w:widowControl/>
            </w:pPr>
            <w:r>
              <w:rPr>
                <w:rFonts w:ascii="Arial" w:hAnsi="Arial"/>
                <w:sz w:val="17"/>
                <w:color w:val="142D45"/>
              </w:rPr>
              <w:t xml:space="preserve">Drop invalid temporal sequence</w:t>
            </w:r>
          </w:p>
        </w:tc>
      </w:tr>
      <w:tr>
        <w:trPr>
          <w:cantSplit/>
        </w:trPr>
        <w:tc>
          <w:tcPr>
            <w:tcW w:w="3520" w:type="dxa"/>
          </w:tcPr>
          <w:p>
            <w:pPr>
              <w:spacing w:before="0" w:after="0" w:line="240" w:lineRule="auto"/>
              <w:widowControl/>
            </w:pPr>
            <w:r>
              <w:rPr>
                <w:rFonts w:ascii="Arial" w:hAnsi="Arial"/>
                <w:sz w:val="17"/>
                <w:color w:val="142D45"/>
              </w:rPr>
              <w:t xml:space="preserve">Speed above 80 mph</w:t>
            </w:r>
          </w:p>
        </w:tc>
        <w:tc>
          <w:tcPr>
            <w:tcW w:w="1920" w:type="dxa"/>
          </w:tcPr>
          <w:p>
            <w:pPr>
              <w:spacing w:before="0" w:after="0" w:line="240" w:lineRule="auto"/>
              <w:widowControl/>
            </w:pPr>
            <w:r>
              <w:rPr>
                <w:rFonts w:ascii="Arial" w:hAnsi="Arial"/>
                <w:sz w:val="17"/>
                <w:color w:val="142D45"/>
              </w:rPr>
              <w:t xml:space="preserve">13,612</w:t>
            </w:r>
          </w:p>
        </w:tc>
        <w:tc>
          <w:tcPr>
            <w:tcW w:w="4460" w:type="dxa"/>
          </w:tcPr>
          <w:p>
            <w:pPr>
              <w:spacing w:before="0" w:after="0" w:line="240" w:lineRule="auto"/>
              <w:widowControl/>
            </w:pPr>
            <w:r>
              <w:rPr>
                <w:rFonts w:ascii="Arial" w:hAnsi="Arial"/>
                <w:sz w:val="17"/>
                <w:color w:val="142D45"/>
              </w:rPr>
              <w:t xml:space="preserve">Filter movement/travel-time analysis</w:t>
            </w:r>
          </w:p>
        </w:tc>
      </w:tr>
    </w:tbl>
    <w:p>
      <w:pPr>
        <w:spacing w:before="0" w:after="0" w:line="200" w:lineRule="exact"/>
      </w:pPr>
    </w:p>
    <w:p>
      <w:pPr>
        <w:spacing w:before="0" w:after="120" w:line="270" w:lineRule="auto"/>
        <w:widowControl/>
      </w:pPr>
      <w:r>
        <w:rPr>
          <w:rFonts w:ascii="Arial" w:hAnsi="Arial"/>
          <w:sz w:val="19"/>
          <w:color w:val="142D45"/>
        </w:rPr>
        <w:t xml:space="preserve">Anomaly categories can overlap and do not sum to total removals. The treatment matrix separates invalid targets from task-specific exclusions; it does not impute invented fares or rider counts. Cleaned/enriched Parquet supports column selection and aggregation without loading the entire dataset. Zone IDs join borough, zone-name, and service-zone metadata; absent metadata must remain visibly unknown. [S1]</w:t>
      </w:r>
    </w:p>
    <w:p>
      <w:pPr>
        <w:spacing w:before="90" w:after="70" w:line="270" w:lineRule="auto"/>
        <w:keepNext/>
        <w:outlineLvl w:val="1"/>
        <w:widowControl/>
      </w:pPr>
      <w:r>
        <w:rPr>
          <w:rFonts w:ascii="Arial" w:hAnsi="Arial"/>
          <w:sz w:val="23"/>
          <w:color w:val="087E8B"/>
          <w:b/>
        </w:rPr>
        <w:t xml:space="preserve">Feature groups and availability</w:t>
      </w:r>
    </w:p>
    <w:p>
      <w:pPr>
        <w:spacing w:before="0" w:after="120" w:line="270" w:lineRule="auto"/>
        <w:widowControl/>
      </w:pPr>
      <w:r>
        <w:rPr>
          <w:rFonts w:ascii="Arial" w:hAnsi="Arial"/>
          <w:sz w:val="19"/>
          <w:color w:val="142D45"/>
          <w:b/>
        </w:rPr>
        <w:t xml:space="preserve">Fare:</w:t>
      </w:r>
      <w:r>
        <w:rPr>
          <w:rFonts w:ascii="Arial" w:hAnsi="Arial"/>
          <w:sz w:val="19"/>
          <w:color w:val="142D45"/>
        </w:rPr>
        <w:t xml:space="preserve"> 23 inputs cover booking fields, origin/destination IDs, airport/cross-borough flags, hour/weekday/month, rush/weekend/night flags, cyclic time encodings, OD code, and training-only route medians. Distance is treated as a route-estimate proxy in the interface; historical recorded distance is a material pre-trip availability caveat. [S2]</w:t>
      </w:r>
    </w:p>
    <w:p>
      <w:pPr>
        <w:spacing w:before="0" w:after="120" w:line="270" w:lineRule="auto"/>
        <w:widowControl/>
      </w:pPr>
      <w:r>
        <w:rPr>
          <w:rFonts w:ascii="Arial" w:hAnsi="Arial"/>
          <w:sz w:val="19"/>
          <w:color w:val="142D45"/>
          <w:b/>
        </w:rPr>
        <w:t xml:space="preserve">Arrival:</w:t>
      </w:r>
      <w:r>
        <w:rPr>
          <w:rFonts w:ascii="Arial" w:hAnsi="Arial"/>
          <w:sz w:val="19"/>
          <w:color w:val="142D45"/>
        </w:rPr>
        <w:t xml:space="preserve"> 26 inputs use booking, calendar, geographic categories, and training-only OD, OD-hour, and OD-weekday duration medians. Actual distance, speed, fare, settlement fields, and drop-off time are excluded from predictors; timestamp differences create the target. Valid modeling durations are positive and at most 180 minutes. [S3]</w:t>
      </w:r>
    </w:p>
    <w:p>
      <w:pPr>
        <w:spacing w:before="0" w:after="120" w:line="270" w:lineRule="auto"/>
        <w:widowControl/>
      </w:pPr>
      <w:r>
        <w:rPr>
          <w:rFonts w:ascii="Arial" w:hAnsi="Arial"/>
          <w:sz w:val="19"/>
          <w:color w:val="142D45"/>
          <w:b/>
        </w:rPr>
        <w:t xml:space="preserve">Demand/spatial:</w:t>
      </w:r>
      <w:r>
        <w:rPr>
          <w:rFonts w:ascii="Arial" w:hAnsi="Arial"/>
          <w:sz w:val="19"/>
          <w:color w:val="142D45"/>
        </w:rPr>
        <w:t xml:space="preserve"> zero-filled hourly zone counts feed lagged and shifted rolling features; the dashboard averages matching weekday/hour slots. Zone clustering standardizes activity, daypart, route, and flow descriptors. Aggregate lookups must be fitted on training data only; transformations must be shared between training and inference. [S4–S6]</w:t>
      </w:r>
    </w:p>
    <w:p>
      <w:r>
        <w:br w:type="page"/>
      </w:r>
    </w:p>
    <w:p>
      <w:pPr>
        <w:spacing w:before="0" w:after="200" w:line="270" w:lineRule="auto"/>
        <w:keepNext/>
        <w:outlineLvl w:val="0"/>
        <w:widowControl/>
      </w:pPr>
      <w:r>
        <w:rPr>
          <w:rFonts w:ascii="Arial" w:hAnsi="Arial"/>
          <w:sz w:val="38"/>
          <w:color w:val="142D45"/>
          <w:b/>
        </w:rPr>
        <w:t xml:space="preserve">04 / Solution architecture</w:t>
      </w:r>
    </w:p>
    <w:p>
      <w:pPr>
        <w:spacing w:before="0" w:after="120" w:line="270" w:lineRule="auto"/>
        <w:widowControl/>
      </w:pPr>
      <w:r>
        <w:rPr>
          <w:rFonts w:ascii="Arial" w:hAnsi="Arial"/>
          <w:sz w:val="19"/>
          <w:color w:val="142D45"/>
        </w:rPr>
        <w:t xml:space="preserve">The system separates batch preparation and model fitting from interactive inference. Parquet is the shared analytical data layer; persisted estimators and lookup statistics carry training decisions into the application. The diagram includes both notebook experiments and implemented dashboard paths. [S2–S9]</w:t>
      </w:r>
    </w:p>
    <w:p>
      <w:pPr>
        <w:spacing w:after="60" w:before="0"/>
      </w:pPr>
      <w:r>
        <w:drawing>
          <wp:inline distT="0" distB="0" distL="0" distR="0">
            <wp:extent cx="6286500" cy="5334000"/>
            <wp:docPr id="1" name="Solution architecture" descr="Complete data input, model training, validation and prediction pipeline"/>
            <a:graphic>
              <a:graphicData uri="http://schemas.openxmlformats.org/drawingml/2006/picture">
                <pic:pic>
                  <pic:nvPicPr>
                    <pic:cNvPr id="0" name="architecture.png"/>
                    <pic:cNvPicPr/>
                  </pic:nvPicPr>
                  <pic:blipFill>
                    <a:blip r:embed="rIdImage"/>
                    <a:stretch>
                      <a:fillRect/>
                    </a:stretch>
                  </pic:blipFill>
                  <pic:spPr>
                    <a:xfrm>
                      <a:off x="0" y="0"/>
                      <a:ext cx="6286500" cy="5334000"/>
                    </a:xfrm>
                    <a:prstGeom prst="rect">
                      <a:avLst/>
                    </a:prstGeom>
                  </pic:spPr>
                </pic:pic>
              </a:graphicData>
            </a:graphic>
          </wp:inline>
        </w:drawing>
      </w:r>
    </w:p>
    <w:p>
      <w:pPr>
        <w:spacing w:before="0" w:after="70" w:line="270" w:lineRule="auto"/>
        <w:widowControl/>
      </w:pPr>
      <w:r>
        <w:rPr>
          <w:rFonts w:ascii="Arial" w:hAnsi="Arial"/>
          <w:sz w:val="16"/>
          <w:color w:val="142D45"/>
          <w:b/>
        </w:rPr>
        <w:t xml:space="preserve">Figure 1.</w:t>
      </w:r>
      <w:r>
        <w:rPr>
          <w:rFonts w:ascii="Arial" w:hAnsi="Arial"/>
          <w:sz w:val="16"/>
          <w:color w:val="142D45"/>
        </w:rPr>
        <w:t xml:space="preserve"> Complete pipeline from trip and zone inputs to user-facing predictions and analytical answers. ML validation precedes artifact use; query validation precedes analytical execution.</w:t>
      </w:r>
    </w:p>
    <w:p>
      <w:pPr>
        <w:spacing w:before="90" w:after="70" w:line="270" w:lineRule="auto"/>
        <w:keepNext/>
        <w:outlineLvl w:val="1"/>
        <w:widowControl/>
      </w:pPr>
      <w:r>
        <w:rPr>
          <w:rFonts w:ascii="Arial" w:hAnsi="Arial"/>
          <w:sz w:val="23"/>
          <w:color w:val="087E8B"/>
          <w:b/>
        </w:rPr>
        <w:t xml:space="preserve">Implementation boundary</w:t>
      </w:r>
    </w:p>
    <w:p>
      <w:pPr>
        <w:spacing w:before="0" w:after="120" w:line="270" w:lineRule="auto"/>
        <w:widowControl/>
      </w:pPr>
      <w:r>
        <w:rPr>
          <w:rFonts w:ascii="Arial" w:hAnsi="Arial"/>
          <w:sz w:val="19"/>
          <w:color w:val="142D45"/>
        </w:rPr>
        <w:t xml:space="preserve">The ETA artifact exists locally. Fare training code and saved notebook scores exist, but the fare artifact and historical lookup are absent from this checkout; the UI uses its rule baseline in their absence. The fleet LightGBM notebook is distinct from the dashboard’s implemented seven-day seasonal baseline. This diagram describes the full solution without implying that every experimental artifact is deployed.</w:t>
      </w:r>
    </w:p>
    <w:p>
      <w:pPr>
        <w:spacing w:before="90" w:after="70" w:line="270" w:lineRule="auto"/>
        <w:keepNext/>
        <w:outlineLvl w:val="1"/>
        <w:widowControl/>
      </w:pPr>
      <w:r>
        <w:rPr>
          <w:rFonts w:ascii="Arial" w:hAnsi="Arial"/>
          <w:sz w:val="23"/>
          <w:color w:val="087E8B"/>
          <w:b/>
        </w:rPr>
        <w:t xml:space="preserve">Inference contracts</w:t>
      </w:r>
    </w:p>
    <w:p>
      <w:pPr>
        <w:spacing w:before="0" w:after="120" w:line="270" w:lineRule="auto"/>
        <w:widowControl/>
      </w:pPr>
      <w:r>
        <w:rPr>
          <w:rFonts w:ascii="Arial" w:hAnsi="Arial"/>
          <w:sz w:val="19"/>
          <w:color w:val="142D45"/>
        </w:rPr>
        <w:t xml:space="preserve">Fare returns a base-fare estimate in dollars, excluding a promise about final surcharges and tips. ETA returns predicted minutes and pickup time plus predicted duration. Demand returns hourly expected recorded pickups. The assistant returns a validated, bounded table with a chart or explanation; it does not train or alter the prediction models.</w:t>
      </w:r>
    </w:p>
    <w:p>
      <w:r>
        <w:br w:type="page"/>
      </w:r>
    </w:p>
    <w:p>
      <w:pPr>
        <w:spacing w:before="0" w:after="200" w:line="270" w:lineRule="auto"/>
        <w:keepNext/>
        <w:outlineLvl w:val="0"/>
        <w:widowControl/>
      </w:pPr>
      <w:r>
        <w:rPr>
          <w:rFonts w:ascii="Arial" w:hAnsi="Arial"/>
          <w:sz w:val="38"/>
          <w:color w:val="142D45"/>
          <w:b/>
        </w:rPr>
        <w:t xml:space="preserve">05 / Fare model methodology</w:t>
      </w:r>
    </w:p>
    <w:p>
      <w:pPr>
        <w:spacing w:before="90" w:after="70" w:line="270" w:lineRule="auto"/>
        <w:keepNext/>
        <w:outlineLvl w:val="1"/>
        <w:widowControl/>
      </w:pPr>
      <w:r>
        <w:rPr>
          <w:rFonts w:ascii="Arial" w:hAnsi="Arial"/>
          <w:sz w:val="23"/>
          <w:color w:val="087E8B"/>
          <w:b/>
        </w:rPr>
        <w:t xml:space="preserve">Prediction problem and baselines</w:t>
      </w:r>
    </w:p>
    <w:p>
      <w:pPr>
        <w:spacing w:before="0" w:after="120" w:line="270" w:lineRule="auto"/>
        <w:widowControl/>
      </w:pPr>
      <w:r>
        <w:rPr>
          <w:rFonts w:ascii="Arial" w:hAnsi="Arial"/>
          <w:sz w:val="19"/>
          <w:color w:val="142D45"/>
        </w:rPr>
        <w:t xml:space="preserve">The target is base_fare, distinct from total settled charge. The experiment compares a global training median, an OD historical median, Ridge regression, LightGBM, and XGBoost. MAE in dollars is the primary selection measure because it expresses typical absolute pricing error in a directly interpretable unit. RMSE emphasizes larger errors; R-squared describes variance explained relative to a mean predictor. [S2]</w:t>
      </w:r>
    </w:p>
    <w:tbl>
      <w:tblPr>
        <w:tblW w:w="9900" w:type="dxa"/>
        <w:tblLayout w:type="fixed"/>
        <w:tblCellMar>
          <w:top w:w="90" w:type="dxa"/>
          <w:left w:w="130" w:type="dxa"/>
          <w:bottom w:w="90" w:type="dxa"/>
          <w:right w:w="130" w:type="dxa"/>
        </w:tblCellMar>
        <w:tblBorders>
          <w:insideH w:val="single" w:sz="3" w:color="CFDCE3"/>
        </w:tblBorders>
      </w:tblPr>
      <w:tblGrid>
        <w:gridCol w:w="2400"/>
        <w:gridCol w:w="7500"/>
      </w:tblGrid>
      <w:tr>
        <w:trPr>
          <w:cantSplit/>
          <w:tblHeader/>
        </w:trPr>
        <w:tc>
          <w:tcPr>
            <w:tcW w:w="2400" w:type="dxa"/>
            <w:shd w:fill="EAF3F6"/>
          </w:tcPr>
          <w:p>
            <w:pPr>
              <w:spacing w:before="0" w:after="0" w:line="240" w:lineRule="auto"/>
              <w:widowControl/>
            </w:pPr>
            <w:r>
              <w:rPr>
                <w:rFonts w:ascii="Arial" w:hAnsi="Arial"/>
                <w:sz w:val="17"/>
                <w:color w:val="142D45"/>
              </w:rPr>
              <w:t xml:space="preserve">Candidate</w:t>
            </w:r>
          </w:p>
        </w:tc>
        <w:tc>
          <w:tcPr>
            <w:tcW w:w="7500" w:type="dxa"/>
            <w:shd w:fill="EAF3F6"/>
          </w:tcPr>
          <w:p>
            <w:pPr>
              <w:spacing w:before="0" w:after="0" w:line="240" w:lineRule="auto"/>
              <w:widowControl/>
            </w:pPr>
            <w:r>
              <w:rPr>
                <w:rFonts w:ascii="Arial" w:hAnsi="Arial"/>
                <w:sz w:val="17"/>
                <w:color w:val="142D45"/>
              </w:rPr>
              <w:t xml:space="preserve">Configuration in source</w:t>
            </w:r>
          </w:p>
        </w:tc>
      </w:tr>
      <w:tr>
        <w:trPr>
          <w:cantSplit/>
        </w:trPr>
        <w:tc>
          <w:tcPr>
            <w:tcW w:w="2400" w:type="dxa"/>
          </w:tcPr>
          <w:p>
            <w:pPr>
              <w:spacing w:before="0" w:after="0" w:line="240" w:lineRule="auto"/>
              <w:widowControl/>
            </w:pPr>
            <w:r>
              <w:rPr>
                <w:rFonts w:ascii="Arial" w:hAnsi="Arial"/>
                <w:sz w:val="17"/>
                <w:color w:val="142D45"/>
              </w:rPr>
              <w:t xml:space="preserve">Global / OD medians</w:t>
            </w:r>
          </w:p>
        </w:tc>
        <w:tc>
          <w:tcPr>
            <w:tcW w:w="7500" w:type="dxa"/>
          </w:tcPr>
          <w:p>
            <w:pPr>
              <w:spacing w:before="0" w:after="0" w:line="240" w:lineRule="auto"/>
              <w:widowControl/>
            </w:pPr>
            <w:r>
              <w:rPr>
                <w:rFonts w:ascii="Arial" w:hAnsi="Arial"/>
                <w:sz w:val="17"/>
                <w:color w:val="142D45"/>
              </w:rPr>
              <w:t xml:space="preserve">Constant median or route median; global fallback for unseen routes</w:t>
            </w:r>
          </w:p>
        </w:tc>
      </w:tr>
      <w:tr>
        <w:trPr>
          <w:cantSplit/>
        </w:trPr>
        <w:tc>
          <w:tcPr>
            <w:tcW w:w="2400" w:type="dxa"/>
          </w:tcPr>
          <w:p>
            <w:pPr>
              <w:spacing w:before="0" w:after="0" w:line="240" w:lineRule="auto"/>
              <w:widowControl/>
            </w:pPr>
            <w:r>
              <w:rPr>
                <w:rFonts w:ascii="Arial" w:hAnsi="Arial"/>
                <w:sz w:val="17"/>
                <w:color w:val="142D45"/>
              </w:rPr>
              <w:t xml:space="preserve">Ridge</w:t>
            </w:r>
          </w:p>
        </w:tc>
        <w:tc>
          <w:tcPr>
            <w:tcW w:w="7500" w:type="dxa"/>
          </w:tcPr>
          <w:p>
            <w:pPr>
              <w:spacing w:before="0" w:after="0" w:line="240" w:lineRule="auto"/>
              <w:widowControl/>
            </w:pPr>
            <w:r>
              <w:rPr>
                <w:rFonts w:ascii="Arial" w:hAnsi="Arial"/>
                <w:sz w:val="17"/>
                <w:color w:val="142D45"/>
              </w:rPr>
              <w:t xml:space="preserve">alpha = 1.0; numeric input matrix</w:t>
            </w:r>
          </w:p>
        </w:tc>
      </w:tr>
      <w:tr>
        <w:trPr>
          <w:cantSplit/>
        </w:trPr>
        <w:tc>
          <w:tcPr>
            <w:tcW w:w="2400" w:type="dxa"/>
          </w:tcPr>
          <w:p>
            <w:pPr>
              <w:spacing w:before="0" w:after="0" w:line="240" w:lineRule="auto"/>
              <w:widowControl/>
            </w:pPr>
            <w:r>
              <w:rPr>
                <w:rFonts w:ascii="Arial" w:hAnsi="Arial"/>
                <w:sz w:val="17"/>
                <w:color w:val="142D45"/>
              </w:rPr>
              <w:t xml:space="preserve">LightGBM</w:t>
            </w:r>
          </w:p>
        </w:tc>
        <w:tc>
          <w:tcPr>
            <w:tcW w:w="7500" w:type="dxa"/>
          </w:tcPr>
          <w:p>
            <w:pPr>
              <w:spacing w:before="0" w:after="0" w:line="240" w:lineRule="auto"/>
              <w:widowControl/>
            </w:pPr>
            <w:r>
              <w:rPr>
                <w:rFonts w:ascii="Arial" w:hAnsi="Arial"/>
                <w:sz w:val="17"/>
                <w:color w:val="142D45"/>
              </w:rPr>
              <w:t xml:space="preserve">1,000 estimators; learning rate 0.05; 63 leaves; depth 8; seed 42</w:t>
            </w:r>
          </w:p>
        </w:tc>
      </w:tr>
      <w:tr>
        <w:trPr>
          <w:cantSplit/>
        </w:trPr>
        <w:tc>
          <w:tcPr>
            <w:tcW w:w="2400" w:type="dxa"/>
          </w:tcPr>
          <w:p>
            <w:pPr>
              <w:spacing w:before="0" w:after="0" w:line="240" w:lineRule="auto"/>
              <w:widowControl/>
            </w:pPr>
            <w:r>
              <w:rPr>
                <w:rFonts w:ascii="Arial" w:hAnsi="Arial"/>
                <w:sz w:val="17"/>
                <w:color w:val="142D45"/>
              </w:rPr>
              <w:t xml:space="preserve">XGBoost</w:t>
            </w:r>
          </w:p>
        </w:tc>
        <w:tc>
          <w:tcPr>
            <w:tcW w:w="7500" w:type="dxa"/>
          </w:tcPr>
          <w:p>
            <w:pPr>
              <w:spacing w:before="0" w:after="0" w:line="240" w:lineRule="auto"/>
              <w:widowControl/>
            </w:pPr>
            <w:r>
              <w:rPr>
                <w:rFonts w:ascii="Arial" w:hAnsi="Arial"/>
                <w:sz w:val="17"/>
                <w:color w:val="142D45"/>
              </w:rPr>
              <w:t xml:space="preserve">Absolute-error objective; 800 estimators; learning rate 0.05; depth 8; seed 42</w:t>
            </w:r>
          </w:p>
        </w:tc>
      </w:tr>
    </w:tbl>
    <w:p>
      <w:pPr>
        <w:spacing w:before="0" w:after="0" w:line="200" w:lineRule="exact"/>
      </w:pPr>
    </w:p>
    <w:p>
      <w:pPr>
        <w:spacing w:before="90" w:after="70" w:line="270" w:lineRule="auto"/>
        <w:keepNext/>
        <w:outlineLvl w:val="1"/>
        <w:widowControl/>
      </w:pPr>
      <w:r>
        <w:rPr>
          <w:rFonts w:ascii="Arial" w:hAnsi="Arial"/>
          <w:sz w:val="23"/>
          <w:color w:val="087E8B"/>
          <w:b/>
        </w:rPr>
        <w:t xml:space="preserve">Training workflow</w:t>
      </w:r>
    </w:p>
    <w:p>
      <w:pPr>
        <w:spacing w:before="0" w:after="120" w:line="270" w:lineRule="auto"/>
        <w:widowControl/>
      </w:pPr>
      <w:r>
        <w:rPr>
          <w:rFonts w:ascii="Arial" w:hAnsi="Arial"/>
          <w:sz w:val="19"/>
          <w:color w:val="142D45"/>
        </w:rPr>
        <w:t xml:space="preserve">The CLI loads up to 500,000 rows from each persisted split, enriches pre-trip features with route lookup statistics, trains the candidates, compares validation MAE, evaluates the selected estimator on the test subset, and serializes UpfrontFarePipeline. Historical routes with fewer than five training observations receive fallback statistics rather than unstable route medians.</w:t>
      </w:r>
    </w:p>
    <w:p>
      <w:pPr>
        <w:spacing w:before="90" w:after="70" w:line="270" w:lineRule="auto"/>
        <w:keepNext/>
        <w:outlineLvl w:val="1"/>
        <w:widowControl/>
      </w:pPr>
      <w:r>
        <w:rPr>
          <w:rFonts w:ascii="Arial" w:hAnsi="Arial"/>
          <w:sz w:val="23"/>
          <w:color w:val="087E8B"/>
          <w:b/>
        </w:rPr>
        <w:t xml:space="preserve">Temporal and feature audit</w:t>
      </w:r>
    </w:p>
    <w:p>
      <w:pPr>
        <w:spacing w:before="0" w:after="120" w:line="270" w:lineRule="auto"/>
        <w:widowControl/>
      </w:pPr>
      <w:r>
        <w:rPr>
          <w:rFonts w:ascii="Arial" w:hAnsi="Arial"/>
          <w:sz w:val="19"/>
          <w:color w:val="142D45"/>
        </w:rPr>
        <w:t xml:space="preserve">The intended design is April–November training, December–January validation, and February–March testing. However, make_splits.py filters pickup_month using calendar-month numbers and Parquet row-group filtering. This does not establish the stated chronological boundaries: the feature examples show pickup_month = 4 for April. The saved fare scores therefore remain experiment results, not a verified leakage-free out-of-time benchmark.</w:t>
      </w:r>
    </w:p>
    <w:p>
      <w:pPr>
        <w:spacing w:before="0" w:after="120" w:line="270" w:lineRule="auto"/>
        <w:widowControl/>
      </w:pPr>
      <w:r>
        <w:rPr>
          <w:rFonts w:ascii="Arial" w:hAnsi="Arial"/>
          <w:sz w:val="19"/>
          <w:color w:val="142D45"/>
        </w:rPr>
        <w:t xml:space="preserve">A defensible rerun must apply explicit pickup_timestamp predicates, assert non-overlap and date ordering, and record sample ranges and counts. The current loader takes leading rows rather than a representative sample across each full period. Lookup construction should also avoid self-target influence in training rows through out-of-fold or expanding-window encodings.</w:t>
      </w:r>
    </w:p>
    <w:p>
      <w:pPr>
        <w:spacing w:before="0" w:after="120" w:line="270" w:lineRule="auto"/>
        <w:widowControl/>
      </w:pPr>
      <w:r>
        <w:rPr>
          <w:rFonts w:ascii="Arial" w:hAnsi="Arial"/>
          <w:sz w:val="19"/>
          <w:color w:val="142D45"/>
        </w:rPr>
        <w:t xml:space="preserve">The interface asks for estimated distance, but historical distance_miles is recorded after the trip. Performance under a true pre-trip route-distance estimate has not been measured. Fare and ETA should therefore not share the same blanket “zero leakage” claim.</w:t>
      </w:r>
    </w:p>
    <w:p>
      <w:r>
        <w:br w:type="page"/>
      </w:r>
    </w:p>
    <w:p>
      <w:pPr>
        <w:spacing w:before="0" w:after="200" w:line="270" w:lineRule="auto"/>
        <w:keepNext/>
        <w:outlineLvl w:val="0"/>
        <w:widowControl/>
      </w:pPr>
      <w:r>
        <w:rPr>
          <w:rFonts w:ascii="Arial" w:hAnsi="Arial"/>
          <w:sz w:val="38"/>
          <w:color w:val="142D45"/>
          <w:b/>
        </w:rPr>
        <w:t xml:space="preserve">06 / Fare evaluation &amp; interpretation</w:t>
      </w:r>
    </w:p>
    <w:p>
      <w:pPr>
        <w:spacing w:before="0" w:after="120" w:line="270" w:lineRule="auto"/>
        <w:widowControl/>
      </w:pPr>
      <w:r>
        <w:rPr>
          <w:rFonts w:ascii="Arial" w:hAnsi="Arial"/>
          <w:sz w:val="19"/>
          <w:color w:val="142D45"/>
        </w:rPr>
        <w:t xml:space="preserve">The following scores are transcribed from saved outputs in notebooks/03_fare_prediction.ipynb. Each saved raw subset contains 500,000 rows. The model was not retrained for this report. Interpret all scores with the temporal-split and distance-proxy qualifications on page 5. [S2]</w:t>
      </w:r>
    </w:p>
    <w:tbl>
      <w:tblPr>
        <w:tblW w:w="9900" w:type="dxa"/>
        <w:tblLayout w:type="fixed"/>
        <w:tblCellMar>
          <w:top w:w="90" w:type="dxa"/>
          <w:left w:w="130" w:type="dxa"/>
          <w:bottom w:w="90" w:type="dxa"/>
          <w:right w:w="130" w:type="dxa"/>
        </w:tblCellMar>
        <w:tblBorders>
          <w:insideH w:val="single" w:sz="3" w:color="CFDCE3"/>
        </w:tblBorders>
      </w:tblPr>
      <w:tblGrid>
        <w:gridCol w:w="4440"/>
        <w:gridCol w:w="1820"/>
        <w:gridCol w:w="1820"/>
        <w:gridCol w:w="1820"/>
      </w:tblGrid>
      <w:tr>
        <w:trPr>
          <w:cantSplit/>
          <w:tblHeader/>
        </w:trPr>
        <w:tc>
          <w:tcPr>
            <w:tcW w:w="4440" w:type="dxa"/>
            <w:shd w:fill="EAF3F6"/>
          </w:tcPr>
          <w:p>
            <w:pPr>
              <w:spacing w:before="0" w:after="0" w:line="240" w:lineRule="auto"/>
              <w:widowControl/>
            </w:pPr>
            <w:r>
              <w:rPr>
                <w:rFonts w:ascii="Arial" w:hAnsi="Arial"/>
                <w:sz w:val="17"/>
                <w:color w:val="142D45"/>
              </w:rPr>
              <w:t xml:space="preserve">Validation model</w:t>
            </w:r>
          </w:p>
        </w:tc>
        <w:tc>
          <w:tcPr>
            <w:tcW w:w="1820" w:type="dxa"/>
            <w:shd w:fill="EAF3F6"/>
          </w:tcPr>
          <w:p>
            <w:pPr>
              <w:spacing w:before="0" w:after="0" w:line="240" w:lineRule="auto"/>
              <w:widowControl/>
            </w:pPr>
            <w:r>
              <w:rPr>
                <w:rFonts w:ascii="Arial" w:hAnsi="Arial"/>
                <w:sz w:val="17"/>
                <w:color w:val="142D45"/>
              </w:rPr>
              <w:t xml:space="preserve">MAE ($)</w:t>
            </w:r>
          </w:p>
        </w:tc>
        <w:tc>
          <w:tcPr>
            <w:tcW w:w="1820" w:type="dxa"/>
            <w:shd w:fill="EAF3F6"/>
          </w:tcPr>
          <w:p>
            <w:pPr>
              <w:spacing w:before="0" w:after="0" w:line="240" w:lineRule="auto"/>
              <w:widowControl/>
            </w:pPr>
            <w:r>
              <w:rPr>
                <w:rFonts w:ascii="Arial" w:hAnsi="Arial"/>
                <w:sz w:val="17"/>
                <w:color w:val="142D45"/>
              </w:rPr>
              <w:t xml:space="preserve">RMSE ($)</w:t>
            </w:r>
          </w:p>
        </w:tc>
        <w:tc>
          <w:tcPr>
            <w:tcW w:w="1820" w:type="dxa"/>
            <w:shd w:fill="EAF3F6"/>
          </w:tcPr>
          <w:p>
            <w:pPr>
              <w:spacing w:before="0" w:after="0" w:line="240" w:lineRule="auto"/>
              <w:widowControl/>
            </w:pPr>
            <w:r>
              <w:rPr>
                <w:rFonts w:ascii="Arial" w:hAnsi="Arial"/>
                <w:sz w:val="17"/>
                <w:color w:val="142D45"/>
              </w:rPr>
              <w:t xml:space="preserve">R²</w:t>
            </w:r>
          </w:p>
        </w:tc>
      </w:tr>
      <w:tr>
        <w:trPr>
          <w:cantSplit/>
        </w:trPr>
        <w:tc>
          <w:tcPr>
            <w:tcW w:w="4440" w:type="dxa"/>
          </w:tcPr>
          <w:p>
            <w:pPr>
              <w:spacing w:before="0" w:after="0" w:line="240" w:lineRule="auto"/>
              <w:widowControl/>
            </w:pPr>
            <w:r>
              <w:rPr>
                <w:rFonts w:ascii="Arial" w:hAnsi="Arial"/>
                <w:sz w:val="17"/>
                <w:color w:val="142D45"/>
              </w:rPr>
              <w:t xml:space="preserve">Global median</w:t>
            </w:r>
          </w:p>
        </w:tc>
        <w:tc>
          <w:tcPr>
            <w:tcW w:w="1820" w:type="dxa"/>
          </w:tcPr>
          <w:p>
            <w:pPr>
              <w:spacing w:before="0" w:after="0" w:line="240" w:lineRule="auto"/>
              <w:widowControl/>
            </w:pPr>
            <w:r>
              <w:rPr>
                <w:rFonts w:ascii="Arial" w:hAnsi="Arial"/>
                <w:sz w:val="17"/>
                <w:color w:val="142D45"/>
              </w:rPr>
              <w:t xml:space="preserve">12.1303</w:t>
            </w:r>
          </w:p>
        </w:tc>
        <w:tc>
          <w:tcPr>
            <w:tcW w:w="1820" w:type="dxa"/>
          </w:tcPr>
          <w:p>
            <w:pPr>
              <w:spacing w:before="0" w:after="0" w:line="240" w:lineRule="auto"/>
              <w:widowControl/>
            </w:pPr>
            <w:r>
              <w:rPr>
                <w:rFonts w:ascii="Arial" w:hAnsi="Arial"/>
                <w:sz w:val="17"/>
                <w:color w:val="142D45"/>
              </w:rPr>
              <w:t xml:space="preserve">22.3159</w:t>
            </w:r>
          </w:p>
        </w:tc>
        <w:tc>
          <w:tcPr>
            <w:tcW w:w="1820" w:type="dxa"/>
          </w:tcPr>
          <w:p>
            <w:pPr>
              <w:spacing w:before="0" w:after="0" w:line="240" w:lineRule="auto"/>
              <w:widowControl/>
            </w:pPr>
            <w:r>
              <w:rPr>
                <w:rFonts w:ascii="Arial" w:hAnsi="Arial"/>
                <w:sz w:val="17"/>
                <w:color w:val="142D45"/>
              </w:rPr>
              <w:t xml:space="preserve">-0.1875</w:t>
            </w:r>
          </w:p>
        </w:tc>
      </w:tr>
      <w:tr>
        <w:trPr>
          <w:cantSplit/>
        </w:trPr>
        <w:tc>
          <w:tcPr>
            <w:tcW w:w="4440" w:type="dxa"/>
          </w:tcPr>
          <w:p>
            <w:pPr>
              <w:spacing w:before="0" w:after="0" w:line="240" w:lineRule="auto"/>
              <w:widowControl/>
            </w:pPr>
            <w:r>
              <w:rPr>
                <w:rFonts w:ascii="Arial" w:hAnsi="Arial"/>
                <w:sz w:val="17"/>
                <w:color w:val="142D45"/>
              </w:rPr>
              <w:t xml:space="preserve">OD median</w:t>
            </w:r>
          </w:p>
        </w:tc>
        <w:tc>
          <w:tcPr>
            <w:tcW w:w="1820" w:type="dxa"/>
          </w:tcPr>
          <w:p>
            <w:pPr>
              <w:spacing w:before="0" w:after="0" w:line="240" w:lineRule="auto"/>
              <w:widowControl/>
            </w:pPr>
            <w:r>
              <w:rPr>
                <w:rFonts w:ascii="Arial" w:hAnsi="Arial"/>
                <w:sz w:val="17"/>
                <w:color w:val="142D45"/>
              </w:rPr>
              <w:t xml:space="preserve">3.8554</w:t>
            </w:r>
          </w:p>
        </w:tc>
        <w:tc>
          <w:tcPr>
            <w:tcW w:w="1820" w:type="dxa"/>
          </w:tcPr>
          <w:p>
            <w:pPr>
              <w:spacing w:before="0" w:after="0" w:line="240" w:lineRule="auto"/>
              <w:widowControl/>
            </w:pPr>
            <w:r>
              <w:rPr>
                <w:rFonts w:ascii="Arial" w:hAnsi="Arial"/>
                <w:sz w:val="17"/>
                <w:color w:val="142D45"/>
              </w:rPr>
              <w:t xml:space="preserve">10.8388</w:t>
            </w:r>
          </w:p>
        </w:tc>
        <w:tc>
          <w:tcPr>
            <w:tcW w:w="1820" w:type="dxa"/>
          </w:tcPr>
          <w:p>
            <w:pPr>
              <w:spacing w:before="0" w:after="0" w:line="240" w:lineRule="auto"/>
              <w:widowControl/>
            </w:pPr>
            <w:r>
              <w:rPr>
                <w:rFonts w:ascii="Arial" w:hAnsi="Arial"/>
                <w:sz w:val="17"/>
                <w:color w:val="142D45"/>
              </w:rPr>
              <w:t xml:space="preserve">0.7199</w:t>
            </w:r>
          </w:p>
        </w:tc>
      </w:tr>
      <w:tr>
        <w:trPr>
          <w:cantSplit/>
        </w:trPr>
        <w:tc>
          <w:tcPr>
            <w:tcW w:w="4440" w:type="dxa"/>
          </w:tcPr>
          <w:p>
            <w:pPr>
              <w:spacing w:before="0" w:after="0" w:line="240" w:lineRule="auto"/>
              <w:widowControl/>
            </w:pPr>
            <w:r>
              <w:rPr>
                <w:rFonts w:ascii="Arial" w:hAnsi="Arial"/>
                <w:sz w:val="17"/>
                <w:color w:val="142D45"/>
              </w:rPr>
              <w:t xml:space="preserve">Ridge</w:t>
            </w:r>
          </w:p>
        </w:tc>
        <w:tc>
          <w:tcPr>
            <w:tcW w:w="1820" w:type="dxa"/>
          </w:tcPr>
          <w:p>
            <w:pPr>
              <w:spacing w:before="0" w:after="0" w:line="240" w:lineRule="auto"/>
              <w:widowControl/>
            </w:pPr>
            <w:r>
              <w:rPr>
                <w:rFonts w:ascii="Arial" w:hAnsi="Arial"/>
                <w:sz w:val="17"/>
                <w:color w:val="142D45"/>
              </w:rPr>
              <w:t xml:space="preserve">6.0226</w:t>
            </w:r>
          </w:p>
        </w:tc>
        <w:tc>
          <w:tcPr>
            <w:tcW w:w="1820" w:type="dxa"/>
          </w:tcPr>
          <w:p>
            <w:pPr>
              <w:spacing w:before="0" w:after="0" w:line="240" w:lineRule="auto"/>
              <w:widowControl/>
            </w:pPr>
            <w:r>
              <w:rPr>
                <w:rFonts w:ascii="Arial" w:hAnsi="Arial"/>
                <w:sz w:val="17"/>
                <w:color w:val="142D45"/>
              </w:rPr>
              <w:t xml:space="preserve">10.2138</w:t>
            </w:r>
          </w:p>
        </w:tc>
        <w:tc>
          <w:tcPr>
            <w:tcW w:w="1820" w:type="dxa"/>
          </w:tcPr>
          <w:p>
            <w:pPr>
              <w:spacing w:before="0" w:after="0" w:line="240" w:lineRule="auto"/>
              <w:widowControl/>
            </w:pPr>
            <w:r>
              <w:rPr>
                <w:rFonts w:ascii="Arial" w:hAnsi="Arial"/>
                <w:sz w:val="17"/>
                <w:color w:val="142D45"/>
              </w:rPr>
              <w:t xml:space="preserve">0.7512</w:t>
            </w:r>
          </w:p>
        </w:tc>
      </w:tr>
      <w:tr>
        <w:trPr>
          <w:cantSplit/>
        </w:trPr>
        <w:tc>
          <w:tcPr>
            <w:tcW w:w="4440" w:type="dxa"/>
          </w:tcPr>
          <w:p>
            <w:pPr>
              <w:spacing w:before="0" w:after="0" w:line="240" w:lineRule="auto"/>
              <w:widowControl/>
            </w:pPr>
            <w:r>
              <w:rPr>
                <w:rFonts w:ascii="Arial" w:hAnsi="Arial"/>
                <w:sz w:val="17"/>
                <w:color w:val="142D45"/>
              </w:rPr>
              <w:t xml:space="preserve">LightGBM</w:t>
            </w:r>
          </w:p>
        </w:tc>
        <w:tc>
          <w:tcPr>
            <w:tcW w:w="1820" w:type="dxa"/>
          </w:tcPr>
          <w:p>
            <w:pPr>
              <w:spacing w:before="0" w:after="0" w:line="240" w:lineRule="auto"/>
              <w:widowControl/>
            </w:pPr>
            <w:r>
              <w:rPr>
                <w:rFonts w:ascii="Arial" w:hAnsi="Arial"/>
                <w:sz w:val="17"/>
                <w:color w:val="142D45"/>
              </w:rPr>
              <w:t xml:space="preserve">2.5913</w:t>
            </w:r>
          </w:p>
        </w:tc>
        <w:tc>
          <w:tcPr>
            <w:tcW w:w="1820" w:type="dxa"/>
          </w:tcPr>
          <w:p>
            <w:pPr>
              <w:spacing w:before="0" w:after="0" w:line="240" w:lineRule="auto"/>
              <w:widowControl/>
            </w:pPr>
            <w:r>
              <w:rPr>
                <w:rFonts w:ascii="Arial" w:hAnsi="Arial"/>
                <w:sz w:val="17"/>
                <w:color w:val="142D45"/>
              </w:rPr>
              <w:t xml:space="preserve">7.3809</w:t>
            </w:r>
          </w:p>
        </w:tc>
        <w:tc>
          <w:tcPr>
            <w:tcW w:w="1820" w:type="dxa"/>
          </w:tcPr>
          <w:p>
            <w:pPr>
              <w:spacing w:before="0" w:after="0" w:line="240" w:lineRule="auto"/>
              <w:widowControl/>
            </w:pPr>
            <w:r>
              <w:rPr>
                <w:rFonts w:ascii="Arial" w:hAnsi="Arial"/>
                <w:sz w:val="17"/>
                <w:color w:val="142D45"/>
              </w:rPr>
              <w:t xml:space="preserve">0.8701</w:t>
            </w:r>
          </w:p>
        </w:tc>
      </w:tr>
      <w:tr>
        <w:trPr>
          <w:cantSplit/>
        </w:trPr>
        <w:tc>
          <w:tcPr>
            <w:tcW w:w="4440" w:type="dxa"/>
          </w:tcPr>
          <w:p>
            <w:pPr>
              <w:spacing w:before="0" w:after="0" w:line="240" w:lineRule="auto"/>
              <w:widowControl/>
            </w:pPr>
            <w:r>
              <w:rPr>
                <w:rFonts w:ascii="Arial" w:hAnsi="Arial"/>
                <w:sz w:val="17"/>
                <w:color w:val="142D45"/>
              </w:rPr>
              <w:t xml:space="preserve">XGBoost</w:t>
            </w:r>
          </w:p>
        </w:tc>
        <w:tc>
          <w:tcPr>
            <w:tcW w:w="1820" w:type="dxa"/>
          </w:tcPr>
          <w:p>
            <w:pPr>
              <w:spacing w:before="0" w:after="0" w:line="240" w:lineRule="auto"/>
              <w:widowControl/>
            </w:pPr>
            <w:r>
              <w:rPr>
                <w:rFonts w:ascii="Arial" w:hAnsi="Arial"/>
                <w:sz w:val="17"/>
                <w:color w:val="142D45"/>
              </w:rPr>
              <w:t xml:space="preserve">2.8348</w:t>
            </w:r>
          </w:p>
        </w:tc>
        <w:tc>
          <w:tcPr>
            <w:tcW w:w="1820" w:type="dxa"/>
          </w:tcPr>
          <w:p>
            <w:pPr>
              <w:spacing w:before="0" w:after="0" w:line="240" w:lineRule="auto"/>
              <w:widowControl/>
            </w:pPr>
            <w:r>
              <w:rPr>
                <w:rFonts w:ascii="Arial" w:hAnsi="Arial"/>
                <w:sz w:val="17"/>
                <w:color w:val="142D45"/>
              </w:rPr>
              <w:t xml:space="preserve">8.0500</w:t>
            </w:r>
          </w:p>
        </w:tc>
        <w:tc>
          <w:tcPr>
            <w:tcW w:w="1820" w:type="dxa"/>
          </w:tcPr>
          <w:p>
            <w:pPr>
              <w:spacing w:before="0" w:after="0" w:line="240" w:lineRule="auto"/>
              <w:widowControl/>
            </w:pPr>
            <w:r>
              <w:rPr>
                <w:rFonts w:ascii="Arial" w:hAnsi="Arial"/>
                <w:sz w:val="17"/>
                <w:color w:val="142D45"/>
              </w:rPr>
              <w:t xml:space="preserve">0.8455</w:t>
            </w:r>
          </w:p>
        </w:tc>
      </w:tr>
    </w:tbl>
    <w:p>
      <w:pPr>
        <w:spacing w:before="0" w:after="0" w:line="200" w:lineRule="exact"/>
      </w:pPr>
    </w:p>
    <w:tbl>
      <w:tblPr>
        <w:tblW w:w="9900" w:type="dxa"/>
        <w:tblLayout w:type="fixed"/>
        <w:tblCellMar>
          <w:top w:w="90" w:type="dxa"/>
          <w:left w:w="130" w:type="dxa"/>
          <w:bottom w:w="90" w:type="dxa"/>
          <w:right w:w="130" w:type="dxa"/>
        </w:tblCellMar>
        <w:tblBorders>
          <w:insideH w:val="single" w:sz="3" w:color="CFDCE3"/>
        </w:tblBorders>
      </w:tblPr>
      <w:tblGrid>
        <w:gridCol w:w="4440"/>
        <w:gridCol w:w="1820"/>
        <w:gridCol w:w="1820"/>
        <w:gridCol w:w="1820"/>
      </w:tblGrid>
      <w:tr>
        <w:trPr>
          <w:cantSplit/>
          <w:tblHeader/>
        </w:trPr>
        <w:tc>
          <w:tcPr>
            <w:tcW w:w="4440" w:type="dxa"/>
            <w:shd w:fill="EAF3F6"/>
          </w:tcPr>
          <w:p>
            <w:pPr>
              <w:spacing w:before="0" w:after="0" w:line="240" w:lineRule="auto"/>
              <w:widowControl/>
            </w:pPr>
            <w:r>
              <w:rPr>
                <w:rFonts w:ascii="Arial" w:hAnsi="Arial"/>
                <w:sz w:val="17"/>
                <w:color w:val="142D45"/>
              </w:rPr>
              <w:t xml:space="preserve">Saved selected-model test</w:t>
            </w:r>
          </w:p>
        </w:tc>
        <w:tc>
          <w:tcPr>
            <w:tcW w:w="1820" w:type="dxa"/>
            <w:shd w:fill="EAF3F6"/>
          </w:tcPr>
          <w:p>
            <w:pPr>
              <w:spacing w:before="0" w:after="0" w:line="240" w:lineRule="auto"/>
              <w:widowControl/>
            </w:pPr>
            <w:r>
              <w:rPr>
                <w:rFonts w:ascii="Arial" w:hAnsi="Arial"/>
                <w:sz w:val="17"/>
                <w:color w:val="142D45"/>
              </w:rPr>
              <w:t xml:space="preserve">MAE ($)</w:t>
            </w:r>
          </w:p>
        </w:tc>
        <w:tc>
          <w:tcPr>
            <w:tcW w:w="1820" w:type="dxa"/>
            <w:shd w:fill="EAF3F6"/>
          </w:tcPr>
          <w:p>
            <w:pPr>
              <w:spacing w:before="0" w:after="0" w:line="240" w:lineRule="auto"/>
              <w:widowControl/>
            </w:pPr>
            <w:r>
              <w:rPr>
                <w:rFonts w:ascii="Arial" w:hAnsi="Arial"/>
                <w:sz w:val="17"/>
                <w:color w:val="142D45"/>
              </w:rPr>
              <w:t xml:space="preserve">RMSE ($)</w:t>
            </w:r>
          </w:p>
        </w:tc>
        <w:tc>
          <w:tcPr>
            <w:tcW w:w="1820" w:type="dxa"/>
            <w:shd w:fill="EAF3F6"/>
          </w:tcPr>
          <w:p>
            <w:pPr>
              <w:spacing w:before="0" w:after="0" w:line="240" w:lineRule="auto"/>
              <w:widowControl/>
            </w:pPr>
            <w:r>
              <w:rPr>
                <w:rFonts w:ascii="Arial" w:hAnsi="Arial"/>
                <w:sz w:val="17"/>
                <w:color w:val="142D45"/>
              </w:rPr>
              <w:t xml:space="preserve">R²</w:t>
            </w:r>
          </w:p>
        </w:tc>
      </w:tr>
      <w:tr>
        <w:trPr>
          <w:cantSplit/>
        </w:trPr>
        <w:tc>
          <w:tcPr>
            <w:tcW w:w="4440" w:type="dxa"/>
          </w:tcPr>
          <w:p>
            <w:pPr>
              <w:spacing w:before="0" w:after="0" w:line="240" w:lineRule="auto"/>
              <w:widowControl/>
            </w:pPr>
            <w:r>
              <w:rPr>
                <w:rFonts w:ascii="Arial" w:hAnsi="Arial"/>
                <w:sz w:val="17"/>
                <w:color w:val="142D45"/>
              </w:rPr>
              <w:t xml:space="preserve">LightGBM</w:t>
            </w:r>
          </w:p>
        </w:tc>
        <w:tc>
          <w:tcPr>
            <w:tcW w:w="1820" w:type="dxa"/>
          </w:tcPr>
          <w:p>
            <w:pPr>
              <w:spacing w:before="0" w:after="0" w:line="240" w:lineRule="auto"/>
              <w:widowControl/>
            </w:pPr>
            <w:r>
              <w:rPr>
                <w:rFonts w:ascii="Arial" w:hAnsi="Arial"/>
                <w:sz w:val="17"/>
                <w:color w:val="142D45"/>
              </w:rPr>
              <w:t xml:space="preserve">4.5969</w:t>
            </w:r>
          </w:p>
        </w:tc>
        <w:tc>
          <w:tcPr>
            <w:tcW w:w="1820" w:type="dxa"/>
          </w:tcPr>
          <w:p>
            <w:pPr>
              <w:spacing w:before="0" w:after="0" w:line="240" w:lineRule="auto"/>
              <w:widowControl/>
            </w:pPr>
            <w:r>
              <w:rPr>
                <w:rFonts w:ascii="Arial" w:hAnsi="Arial"/>
                <w:sz w:val="17"/>
                <w:color w:val="142D45"/>
              </w:rPr>
              <w:t xml:space="preserve">7.0402</w:t>
            </w:r>
          </w:p>
        </w:tc>
        <w:tc>
          <w:tcPr>
            <w:tcW w:w="1820" w:type="dxa"/>
          </w:tcPr>
          <w:p>
            <w:pPr>
              <w:spacing w:before="0" w:after="0" w:line="240" w:lineRule="auto"/>
              <w:widowControl/>
            </w:pPr>
            <w:r>
              <w:rPr>
                <w:rFonts w:ascii="Arial" w:hAnsi="Arial"/>
                <w:sz w:val="17"/>
                <w:color w:val="142D45"/>
              </w:rPr>
              <w:t xml:space="preserve">0.6793</w:t>
            </w:r>
          </w:p>
        </w:tc>
      </w:tr>
    </w:tbl>
    <w:p>
      <w:pPr>
        <w:spacing w:before="0" w:after="0" w:line="200" w:lineRule="exact"/>
      </w:pPr>
    </w:p>
    <w:p>
      <w:pPr>
        <w:spacing w:before="90" w:after="70" w:line="270" w:lineRule="auto"/>
        <w:keepNext/>
        <w:outlineLvl w:val="1"/>
        <w:widowControl/>
      </w:pPr>
      <w:r>
        <w:rPr>
          <w:rFonts w:ascii="Arial" w:hAnsi="Arial"/>
          <w:sz w:val="23"/>
          <w:color w:val="087E8B"/>
          <w:b/>
        </w:rPr>
        <w:t xml:space="preserve">What the comparison supports</w:t>
      </w:r>
    </w:p>
    <w:p>
      <w:pPr>
        <w:spacing w:before="0" w:after="120" w:line="270" w:lineRule="auto"/>
        <w:widowControl/>
      </w:pPr>
      <w:r>
        <w:rPr>
          <w:rFonts w:ascii="Arial" w:hAnsi="Arial"/>
          <w:sz w:val="19"/>
          <w:color w:val="142D45"/>
        </w:rPr>
        <w:t xml:space="preserve">LightGBM has the lowest stored validation MAE: approximately 32.8% lower than OD median and 8.6% lower than XGBoost. The OD baseline is already strong, indicating substantial route-level structure in fares. Ridge has lower RMSE than OD median but worse MAE, illustrating that candidate rankings depend on the operational error measure.</w:t>
      </w:r>
    </w:p>
    <w:p>
      <w:pPr>
        <w:spacing w:before="0" w:after="120" w:line="270" w:lineRule="auto"/>
        <w:widowControl/>
      </w:pPr>
      <w:r>
        <w:rPr>
          <w:rFonts w:ascii="Arial" w:hAnsi="Arial"/>
          <w:sz w:val="19"/>
          <w:color w:val="142D45"/>
        </w:rPr>
        <w:t xml:space="preserve">Test MAE is approximately 77.4% higher than validation MAE, while test RMSE is lower. This combination suggests a different error distribution or target mix; it should not be reduced to a claim of uniform performance degradation. Segment counts and residual quantiles are needed to establish the cause.</w:t>
      </w:r>
    </w:p>
    <w:p>
      <w:pPr>
        <w:spacing w:before="90" w:after="70" w:line="270" w:lineRule="auto"/>
        <w:keepNext/>
        <w:outlineLvl w:val="1"/>
        <w:widowControl/>
      </w:pPr>
      <w:r>
        <w:rPr>
          <w:rFonts w:ascii="Arial" w:hAnsi="Arial"/>
          <w:sz w:val="23"/>
          <w:color w:val="087E8B"/>
          <w:b/>
        </w:rPr>
        <w:t xml:space="preserve">Error analysis and practical use</w:t>
      </w:r>
    </w:p>
    <w:p>
      <w:pPr>
        <w:spacing w:before="0" w:after="120" w:line="270" w:lineRule="auto"/>
        <w:widowControl/>
      </w:pPr>
      <w:r>
        <w:rPr>
          <w:rFonts w:ascii="Arial" w:hAnsi="Arial"/>
          <w:sz w:val="19"/>
          <w:color w:val="142D45"/>
        </w:rPr>
        <w:t xml:space="preserve">The notebook reports MAE of $4.6104 for the non-airport flag and $0.8994 for the airport flag. Without accompanying group sizes and a reviewed airport definition, these values should not imply universal airport reliability. Stratify by route frequency, tariff, borough, distance, and time of day before using model output as a customer commitment.</w:t>
      </w:r>
    </w:p>
    <w:p>
      <w:pPr>
        <w:spacing w:before="90" w:after="70" w:line="270" w:lineRule="auto"/>
        <w:keepNext/>
        <w:outlineLvl w:val="1"/>
        <w:widowControl/>
      </w:pPr>
      <w:r>
        <w:rPr>
          <w:rFonts w:ascii="Arial" w:hAnsi="Arial"/>
          <w:sz w:val="23"/>
          <w:color w:val="087E8B"/>
          <w:b/>
        </w:rPr>
        <w:t xml:space="preserve">Metric definitions</w:t>
      </w:r>
    </w:p>
    <w:p>
      <w:pPr>
        <w:spacing w:before="0" w:after="120" w:line="270" w:lineRule="auto"/>
        <w:widowControl/>
      </w:pPr>
      <w:r>
        <w:rPr>
          <w:rFonts w:ascii="Arial" w:hAnsi="Arial"/>
          <w:sz w:val="19"/>
          <w:color w:val="142D45"/>
        </w:rPr>
        <w:t xml:space="preserve">MAE = mean(|actual − predicted|). RMSE = square root of mean((actual − predicted)²). R² = 1 − residual sum of squares / total sum of squares. Lower MAE/RMSE is better; higher R² is better. Negative R² is possible when a model performs worse than the corresponding mean baseline.</w:t>
      </w:r>
    </w:p>
    <w:p>
      <w:r>
        <w:br w:type="page"/>
      </w:r>
    </w:p>
    <w:p>
      <w:pPr>
        <w:spacing w:before="0" w:after="200" w:line="270" w:lineRule="auto"/>
        <w:keepNext/>
        <w:outlineLvl w:val="0"/>
        <w:widowControl/>
      </w:pPr>
      <w:r>
        <w:rPr>
          <w:rFonts w:ascii="Arial" w:hAnsi="Arial"/>
          <w:sz w:val="38"/>
          <w:color w:val="142D45"/>
          <w:b/>
        </w:rPr>
        <w:t xml:space="preserve">07 / Arrival-time estimation</w:t>
      </w:r>
    </w:p>
    <w:p>
      <w:pPr>
        <w:spacing w:before="0" w:after="120" w:line="270" w:lineRule="auto"/>
        <w:widowControl/>
      </w:pPr>
      <w:r>
        <w:rPr>
          <w:rFonts w:ascii="Arial" w:hAnsi="Arial"/>
          <w:sz w:val="19"/>
          <w:color w:val="142D45"/>
        </w:rPr>
        <w:t xml:space="preserve">The arrival estimator predicts duration in minutes and adds it to the requested pickup timestamp. Destination is assumed known before departure. The implementation uses LightGBM with an L1 objective, up to 1,200 trees, learning rate 0.04, 63 leaves, depth 10, seed 42, and validation early stopping after 75 rounds. Historical duration statistics are fitted on the training period. [S3]</w:t>
      </w:r>
    </w:p>
    <w:p>
      <w:pPr>
        <w:spacing w:before="0" w:after="120" w:line="270" w:lineRule="auto"/>
        <w:widowControl/>
      </w:pPr>
      <w:r>
        <w:rPr>
          <w:rFonts w:ascii="Arial" w:hAnsi="Arial"/>
          <w:sz w:val="19"/>
          <w:color w:val="142D45"/>
        </w:rPr>
        <w:t xml:space="preserve">The loader uses explicit timestamp cutoffs: training before 1 December 2025; validation from 1 December through 31 January; testing from 1 February 2026. It takes the first 500,000 chronologically sorted rows of each partition. The saved test evaluation retains 499,654 valid trips after duration filtering. These are period-prefix samples, not a full two-month test census.</w:t>
      </w:r>
    </w:p>
    <w:tbl>
      <w:tblPr>
        <w:tblW w:w="9900" w:type="dxa"/>
        <w:tblLayout w:type="fixed"/>
        <w:tblCellMar>
          <w:top w:w="90" w:type="dxa"/>
          <w:left w:w="130" w:type="dxa"/>
          <w:bottom w:w="90" w:type="dxa"/>
          <w:right w:w="130" w:type="dxa"/>
        </w:tblCellMar>
        <w:tblBorders>
          <w:insideH w:val="single" w:sz="3" w:color="CFDCE3"/>
        </w:tblBorders>
      </w:tblPr>
      <w:tblGrid>
        <w:gridCol w:w="4440"/>
        <w:gridCol w:w="1820"/>
        <w:gridCol w:w="1820"/>
        <w:gridCol w:w="1820"/>
      </w:tblGrid>
      <w:tr>
        <w:trPr>
          <w:cantSplit/>
          <w:tblHeader/>
        </w:trPr>
        <w:tc>
          <w:tcPr>
            <w:tcW w:w="4440" w:type="dxa"/>
            <w:shd w:fill="EAF3F6"/>
          </w:tcPr>
          <w:p>
            <w:pPr>
              <w:spacing w:before="0" w:after="0" w:line="240" w:lineRule="auto"/>
              <w:widowControl/>
            </w:pPr>
            <w:r>
              <w:rPr>
                <w:rFonts w:ascii="Arial" w:hAnsi="Arial"/>
                <w:sz w:val="17"/>
                <w:color w:val="142D45"/>
              </w:rPr>
              <w:t xml:space="preserve">Saved evaluation</w:t>
            </w:r>
          </w:p>
        </w:tc>
        <w:tc>
          <w:tcPr>
            <w:tcW w:w="1820" w:type="dxa"/>
            <w:shd w:fill="EAF3F6"/>
          </w:tcPr>
          <w:p>
            <w:pPr>
              <w:spacing w:before="0" w:after="0" w:line="240" w:lineRule="auto"/>
              <w:widowControl/>
            </w:pPr>
            <w:r>
              <w:rPr>
                <w:rFonts w:ascii="Arial" w:hAnsi="Arial"/>
                <w:sz w:val="17"/>
                <w:color w:val="142D45"/>
              </w:rPr>
              <w:t xml:space="preserve">MAE (min)</w:t>
            </w:r>
          </w:p>
        </w:tc>
        <w:tc>
          <w:tcPr>
            <w:tcW w:w="1820" w:type="dxa"/>
            <w:shd w:fill="EAF3F6"/>
          </w:tcPr>
          <w:p>
            <w:pPr>
              <w:spacing w:before="0" w:after="0" w:line="240" w:lineRule="auto"/>
              <w:widowControl/>
            </w:pPr>
            <w:r>
              <w:rPr>
                <w:rFonts w:ascii="Arial" w:hAnsi="Arial"/>
                <w:sz w:val="17"/>
                <w:color w:val="142D45"/>
              </w:rPr>
              <w:t xml:space="preserve">RMSE (min)</w:t>
            </w:r>
          </w:p>
        </w:tc>
        <w:tc>
          <w:tcPr>
            <w:tcW w:w="1820" w:type="dxa"/>
            <w:shd w:fill="EAF3F6"/>
          </w:tcPr>
          <w:p>
            <w:pPr>
              <w:spacing w:before="0" w:after="0" w:line="240" w:lineRule="auto"/>
              <w:widowControl/>
            </w:pPr>
            <w:r>
              <w:rPr>
                <w:rFonts w:ascii="Arial" w:hAnsi="Arial"/>
                <w:sz w:val="17"/>
                <w:color w:val="142D45"/>
              </w:rPr>
              <w:t xml:space="preserve">R²</w:t>
            </w:r>
          </w:p>
        </w:tc>
      </w:tr>
      <w:tr>
        <w:trPr>
          <w:cantSplit/>
        </w:trPr>
        <w:tc>
          <w:tcPr>
            <w:tcW w:w="4440" w:type="dxa"/>
          </w:tcPr>
          <w:p>
            <w:pPr>
              <w:spacing w:before="0" w:after="0" w:line="240" w:lineRule="auto"/>
              <w:widowControl/>
            </w:pPr>
            <w:r>
              <w:rPr>
                <w:rFonts w:ascii="Arial" w:hAnsi="Arial"/>
                <w:sz w:val="17"/>
                <w:color w:val="142D45"/>
              </w:rPr>
              <w:t xml:space="preserve">Median baseline / validation</w:t>
            </w:r>
          </w:p>
        </w:tc>
        <w:tc>
          <w:tcPr>
            <w:tcW w:w="1820" w:type="dxa"/>
          </w:tcPr>
          <w:p>
            <w:pPr>
              <w:spacing w:before="0" w:after="0" w:line="240" w:lineRule="auto"/>
              <w:widowControl/>
            </w:pPr>
            <w:r>
              <w:rPr>
                <w:rFonts w:ascii="Arial" w:hAnsi="Arial"/>
                <w:sz w:val="17"/>
                <w:color w:val="142D45"/>
              </w:rPr>
              <w:t xml:space="preserve">11.5427</w:t>
            </w:r>
          </w:p>
        </w:tc>
        <w:tc>
          <w:tcPr>
            <w:tcW w:w="1820" w:type="dxa"/>
          </w:tcPr>
          <w:p>
            <w:pPr>
              <w:spacing w:before="0" w:after="0" w:line="240" w:lineRule="auto"/>
              <w:widowControl/>
            </w:pPr>
            <w:r>
              <w:rPr>
                <w:rFonts w:ascii="Arial" w:hAnsi="Arial"/>
                <w:sz w:val="17"/>
                <w:color w:val="142D45"/>
              </w:rPr>
              <w:t xml:space="preserve">18.7373</w:t>
            </w:r>
          </w:p>
        </w:tc>
        <w:tc>
          <w:tcPr>
            <w:tcW w:w="1820" w:type="dxa"/>
          </w:tcPr>
          <w:p>
            <w:pPr>
              <w:spacing w:before="0" w:after="0" w:line="240" w:lineRule="auto"/>
              <w:widowControl/>
            </w:pPr>
            <w:r>
              <w:rPr>
                <w:rFonts w:ascii="Arial" w:hAnsi="Arial"/>
                <w:sz w:val="17"/>
                <w:color w:val="142D45"/>
              </w:rPr>
              <w:t xml:space="preserve">-0.1777</w:t>
            </w:r>
          </w:p>
        </w:tc>
      </w:tr>
      <w:tr>
        <w:trPr>
          <w:cantSplit/>
        </w:trPr>
        <w:tc>
          <w:tcPr>
            <w:tcW w:w="4440" w:type="dxa"/>
          </w:tcPr>
          <w:p>
            <w:pPr>
              <w:spacing w:before="0" w:after="0" w:line="240" w:lineRule="auto"/>
              <w:widowControl/>
            </w:pPr>
            <w:r>
              <w:rPr>
                <w:rFonts w:ascii="Arial" w:hAnsi="Arial"/>
                <w:sz w:val="17"/>
                <w:color w:val="142D45"/>
              </w:rPr>
              <w:t xml:space="preserve">LightGBM / validation</w:t>
            </w:r>
          </w:p>
        </w:tc>
        <w:tc>
          <w:tcPr>
            <w:tcW w:w="1820" w:type="dxa"/>
          </w:tcPr>
          <w:p>
            <w:pPr>
              <w:spacing w:before="0" w:after="0" w:line="240" w:lineRule="auto"/>
              <w:widowControl/>
            </w:pPr>
            <w:r>
              <w:rPr>
                <w:rFonts w:ascii="Arial" w:hAnsi="Arial"/>
                <w:sz w:val="17"/>
                <w:color w:val="142D45"/>
              </w:rPr>
              <w:t xml:space="preserve">7.2634</w:t>
            </w:r>
          </w:p>
        </w:tc>
        <w:tc>
          <w:tcPr>
            <w:tcW w:w="1820" w:type="dxa"/>
          </w:tcPr>
          <w:p>
            <w:pPr>
              <w:spacing w:before="0" w:after="0" w:line="240" w:lineRule="auto"/>
              <w:widowControl/>
            </w:pPr>
            <w:r>
              <w:rPr>
                <w:rFonts w:ascii="Arial" w:hAnsi="Arial"/>
                <w:sz w:val="17"/>
                <w:color w:val="142D45"/>
              </w:rPr>
              <w:t xml:space="preserve">13.4872</w:t>
            </w:r>
          </w:p>
        </w:tc>
        <w:tc>
          <w:tcPr>
            <w:tcW w:w="1820" w:type="dxa"/>
          </w:tcPr>
          <w:p>
            <w:pPr>
              <w:spacing w:before="0" w:after="0" w:line="240" w:lineRule="auto"/>
              <w:widowControl/>
            </w:pPr>
            <w:r>
              <w:rPr>
                <w:rFonts w:ascii="Arial" w:hAnsi="Arial"/>
                <w:sz w:val="17"/>
                <w:color w:val="142D45"/>
              </w:rPr>
              <w:t xml:space="preserve">0.3898</w:t>
            </w:r>
          </w:p>
        </w:tc>
      </w:tr>
      <w:tr>
        <w:trPr>
          <w:cantSplit/>
        </w:trPr>
        <w:tc>
          <w:tcPr>
            <w:tcW w:w="4440" w:type="dxa"/>
          </w:tcPr>
          <w:p>
            <w:pPr>
              <w:spacing w:before="0" w:after="0" w:line="240" w:lineRule="auto"/>
              <w:widowControl/>
            </w:pPr>
            <w:r>
              <w:rPr>
                <w:rFonts w:ascii="Arial" w:hAnsi="Arial"/>
                <w:sz w:val="17"/>
                <w:color w:val="142D45"/>
              </w:rPr>
              <w:t xml:space="preserve">LightGBM / test</w:t>
            </w:r>
          </w:p>
        </w:tc>
        <w:tc>
          <w:tcPr>
            <w:tcW w:w="1820" w:type="dxa"/>
          </w:tcPr>
          <w:p>
            <w:pPr>
              <w:spacing w:before="0" w:after="0" w:line="240" w:lineRule="auto"/>
              <w:widowControl/>
            </w:pPr>
            <w:r>
              <w:rPr>
                <w:rFonts w:ascii="Arial" w:hAnsi="Arial"/>
                <w:sz w:val="17"/>
                <w:color w:val="142D45"/>
              </w:rPr>
              <w:t xml:space="preserve">6.8857</w:t>
            </w:r>
          </w:p>
        </w:tc>
        <w:tc>
          <w:tcPr>
            <w:tcW w:w="1820" w:type="dxa"/>
          </w:tcPr>
          <w:p>
            <w:pPr>
              <w:spacing w:before="0" w:after="0" w:line="240" w:lineRule="auto"/>
              <w:widowControl/>
            </w:pPr>
            <w:r>
              <w:rPr>
                <w:rFonts w:ascii="Arial" w:hAnsi="Arial"/>
                <w:sz w:val="17"/>
                <w:color w:val="142D45"/>
              </w:rPr>
              <w:t xml:space="preserve">12.7352</w:t>
            </w:r>
          </w:p>
        </w:tc>
        <w:tc>
          <w:tcPr>
            <w:tcW w:w="1820" w:type="dxa"/>
          </w:tcPr>
          <w:p>
            <w:pPr>
              <w:spacing w:before="0" w:after="0" w:line="240" w:lineRule="auto"/>
              <w:widowControl/>
            </w:pPr>
            <w:r>
              <w:rPr>
                <w:rFonts w:ascii="Arial" w:hAnsi="Arial"/>
                <w:sz w:val="17"/>
                <w:color w:val="142D45"/>
              </w:rPr>
              <w:t xml:space="preserve">0.2842</w:t>
            </w:r>
          </w:p>
        </w:tc>
      </w:tr>
    </w:tbl>
    <w:p>
      <w:pPr>
        <w:spacing w:before="0" w:after="0" w:line="200" w:lineRule="exact"/>
      </w:pPr>
    </w:p>
    <w:p>
      <w:pPr>
        <w:spacing w:before="0" w:after="120" w:line="270" w:lineRule="auto"/>
        <w:widowControl/>
      </w:pPr>
      <w:r>
        <w:rPr>
          <w:rFonts w:ascii="Arial" w:hAnsi="Arial"/>
          <w:sz w:val="19"/>
          <w:color w:val="142D45"/>
        </w:rPr>
        <w:t xml:space="preserve">Validation MAE improves about 37.1% over the median baseline. On the saved test sample, 31.11% of predictions fall within two minutes, 61.27% within five minutes, and 81.48% within ten minutes of actual duration.</w:t>
      </w:r>
    </w:p>
    <w:tbl>
      <w:tblPr>
        <w:tblW w:w="9900" w:type="dxa"/>
        <w:tblLayout w:type="fixed"/>
        <w:tblCellMar>
          <w:top w:w="90" w:type="dxa"/>
          <w:left w:w="130" w:type="dxa"/>
          <w:bottom w:w="90" w:type="dxa"/>
          <w:right w:w="130" w:type="dxa"/>
        </w:tblCellMar>
        <w:tblBorders>
          <w:insideH w:val="single" w:sz="3" w:color="CFDCE3"/>
        </w:tblBorders>
      </w:tblPr>
      <w:tblGrid>
        <w:gridCol w:w="4000"/>
        <w:gridCol w:w="1920"/>
        <w:gridCol w:w="1920"/>
        <w:gridCol w:w="2060"/>
      </w:tblGrid>
      <w:tr>
        <w:trPr>
          <w:cantSplit/>
          <w:tblHeader/>
        </w:trPr>
        <w:tc>
          <w:tcPr>
            <w:tcW w:w="4000" w:type="dxa"/>
            <w:shd w:fill="EAF3F6"/>
          </w:tcPr>
          <w:p>
            <w:pPr>
              <w:spacing w:before="0" w:after="0" w:line="240" w:lineRule="auto"/>
              <w:widowControl/>
            </w:pPr>
            <w:r>
              <w:rPr>
                <w:rFonts w:ascii="Arial" w:hAnsi="Arial"/>
                <w:sz w:val="17"/>
                <w:color w:val="142D45"/>
              </w:rPr>
              <w:t xml:space="preserve">Test segment</w:t>
            </w:r>
          </w:p>
        </w:tc>
        <w:tc>
          <w:tcPr>
            <w:tcW w:w="1920" w:type="dxa"/>
            <w:shd w:fill="EAF3F6"/>
          </w:tcPr>
          <w:p>
            <w:pPr>
              <w:spacing w:before="0" w:after="0" w:line="240" w:lineRule="auto"/>
              <w:widowControl/>
            </w:pPr>
            <w:r>
              <w:rPr>
                <w:rFonts w:ascii="Arial" w:hAnsi="Arial"/>
                <w:sz w:val="17"/>
                <w:color w:val="142D45"/>
              </w:rPr>
              <w:t xml:space="preserve">Rows</w:t>
            </w:r>
          </w:p>
        </w:tc>
        <w:tc>
          <w:tcPr>
            <w:tcW w:w="1920" w:type="dxa"/>
            <w:shd w:fill="EAF3F6"/>
          </w:tcPr>
          <w:p>
            <w:pPr>
              <w:spacing w:before="0" w:after="0" w:line="240" w:lineRule="auto"/>
              <w:widowControl/>
            </w:pPr>
            <w:r>
              <w:rPr>
                <w:rFonts w:ascii="Arial" w:hAnsi="Arial"/>
                <w:sz w:val="17"/>
                <w:color w:val="142D45"/>
              </w:rPr>
              <w:t xml:space="preserve">MAE (min)</w:t>
            </w:r>
          </w:p>
        </w:tc>
        <w:tc>
          <w:tcPr>
            <w:tcW w:w="2060" w:type="dxa"/>
            <w:shd w:fill="EAF3F6"/>
          </w:tcPr>
          <w:p>
            <w:pPr>
              <w:spacing w:before="0" w:after="0" w:line="240" w:lineRule="auto"/>
              <w:widowControl/>
            </w:pPr>
            <w:r>
              <w:rPr>
                <w:rFonts w:ascii="Arial" w:hAnsi="Arial"/>
                <w:sz w:val="17"/>
                <w:color w:val="142D45"/>
              </w:rPr>
              <w:t xml:space="preserve">Within 10 min</w:t>
            </w:r>
          </w:p>
        </w:tc>
      </w:tr>
      <w:tr>
        <w:trPr>
          <w:cantSplit/>
        </w:trPr>
        <w:tc>
          <w:tcPr>
            <w:tcW w:w="4000" w:type="dxa"/>
          </w:tcPr>
          <w:p>
            <w:pPr>
              <w:spacing w:before="0" w:after="0" w:line="240" w:lineRule="auto"/>
              <w:widowControl/>
            </w:pPr>
            <w:r>
              <w:rPr>
                <w:rFonts w:ascii="Arial" w:hAnsi="Arial"/>
                <w:sz w:val="17"/>
                <w:color w:val="142D45"/>
              </w:rPr>
              <w:t xml:space="preserve">Rush hour</w:t>
            </w:r>
          </w:p>
        </w:tc>
        <w:tc>
          <w:tcPr>
            <w:tcW w:w="1920" w:type="dxa"/>
          </w:tcPr>
          <w:p>
            <w:pPr>
              <w:spacing w:before="0" w:after="0" w:line="240" w:lineRule="auto"/>
              <w:widowControl/>
            </w:pPr>
            <w:r>
              <w:rPr>
                <w:rFonts w:ascii="Arial" w:hAnsi="Arial"/>
                <w:sz w:val="17"/>
                <w:color w:val="142D45"/>
              </w:rPr>
              <w:t xml:space="preserve">217,190</w:t>
            </w:r>
          </w:p>
        </w:tc>
        <w:tc>
          <w:tcPr>
            <w:tcW w:w="1920" w:type="dxa"/>
          </w:tcPr>
          <w:p>
            <w:pPr>
              <w:spacing w:before="0" w:after="0" w:line="240" w:lineRule="auto"/>
              <w:widowControl/>
            </w:pPr>
            <w:r>
              <w:rPr>
                <w:rFonts w:ascii="Arial" w:hAnsi="Arial"/>
                <w:sz w:val="17"/>
                <w:color w:val="142D45"/>
              </w:rPr>
              <w:t xml:space="preserve">7.3958</w:t>
            </w:r>
          </w:p>
        </w:tc>
        <w:tc>
          <w:tcPr>
            <w:tcW w:w="2060" w:type="dxa"/>
          </w:tcPr>
          <w:p>
            <w:pPr>
              <w:spacing w:before="0" w:after="0" w:line="240" w:lineRule="auto"/>
              <w:widowControl/>
            </w:pPr>
            <w:r>
              <w:rPr>
                <w:rFonts w:ascii="Arial" w:hAnsi="Arial"/>
                <w:sz w:val="17"/>
                <w:color w:val="142D45"/>
              </w:rPr>
              <w:t xml:space="preserve">80.26%</w:t>
            </w:r>
          </w:p>
        </w:tc>
      </w:tr>
      <w:tr>
        <w:trPr>
          <w:cantSplit/>
        </w:trPr>
        <w:tc>
          <w:tcPr>
            <w:tcW w:w="4000" w:type="dxa"/>
          </w:tcPr>
          <w:p>
            <w:pPr>
              <w:spacing w:before="0" w:after="0" w:line="240" w:lineRule="auto"/>
              <w:widowControl/>
            </w:pPr>
            <w:r>
              <w:rPr>
                <w:rFonts w:ascii="Arial" w:hAnsi="Arial"/>
                <w:sz w:val="17"/>
                <w:color w:val="142D45"/>
              </w:rPr>
              <w:t xml:space="preserve">Non-rush hour</w:t>
            </w:r>
          </w:p>
        </w:tc>
        <w:tc>
          <w:tcPr>
            <w:tcW w:w="1920" w:type="dxa"/>
          </w:tcPr>
          <w:p>
            <w:pPr>
              <w:spacing w:before="0" w:after="0" w:line="240" w:lineRule="auto"/>
              <w:widowControl/>
            </w:pPr>
            <w:r>
              <w:rPr>
                <w:rFonts w:ascii="Arial" w:hAnsi="Arial"/>
                <w:sz w:val="17"/>
                <w:color w:val="142D45"/>
              </w:rPr>
              <w:t xml:space="preserve">282,464</w:t>
            </w:r>
          </w:p>
        </w:tc>
        <w:tc>
          <w:tcPr>
            <w:tcW w:w="1920" w:type="dxa"/>
          </w:tcPr>
          <w:p>
            <w:pPr>
              <w:spacing w:before="0" w:after="0" w:line="240" w:lineRule="auto"/>
              <w:widowControl/>
            </w:pPr>
            <w:r>
              <w:rPr>
                <w:rFonts w:ascii="Arial" w:hAnsi="Arial"/>
                <w:sz w:val="17"/>
                <w:color w:val="142D45"/>
              </w:rPr>
              <w:t xml:space="preserve">6.4935</w:t>
            </w:r>
          </w:p>
        </w:tc>
        <w:tc>
          <w:tcPr>
            <w:tcW w:w="2060" w:type="dxa"/>
          </w:tcPr>
          <w:p>
            <w:pPr>
              <w:spacing w:before="0" w:after="0" w:line="240" w:lineRule="auto"/>
              <w:widowControl/>
            </w:pPr>
            <w:r>
              <w:rPr>
                <w:rFonts w:ascii="Arial" w:hAnsi="Arial"/>
                <w:sz w:val="17"/>
                <w:color w:val="142D45"/>
              </w:rPr>
              <w:t xml:space="preserve">82.42%</w:t>
            </w:r>
          </w:p>
        </w:tc>
      </w:tr>
      <w:tr>
        <w:trPr>
          <w:cantSplit/>
        </w:trPr>
        <w:tc>
          <w:tcPr>
            <w:tcW w:w="4000" w:type="dxa"/>
          </w:tcPr>
          <w:p>
            <w:pPr>
              <w:spacing w:before="0" w:after="0" w:line="240" w:lineRule="auto"/>
              <w:widowControl/>
            </w:pPr>
            <w:r>
              <w:rPr>
                <w:rFonts w:ascii="Arial" w:hAnsi="Arial"/>
                <w:sz w:val="17"/>
                <w:color w:val="142D45"/>
              </w:rPr>
              <w:t xml:space="preserve">Short: 0–15 minutes</w:t>
            </w:r>
          </w:p>
        </w:tc>
        <w:tc>
          <w:tcPr>
            <w:tcW w:w="1920" w:type="dxa"/>
          </w:tcPr>
          <w:p>
            <w:pPr>
              <w:spacing w:before="0" w:after="0" w:line="240" w:lineRule="auto"/>
              <w:widowControl/>
            </w:pPr>
            <w:r>
              <w:rPr>
                <w:rFonts w:ascii="Arial" w:hAnsi="Arial"/>
                <w:sz w:val="17"/>
                <w:color w:val="142D45"/>
              </w:rPr>
              <w:t xml:space="preserve">249,695</w:t>
            </w:r>
          </w:p>
        </w:tc>
        <w:tc>
          <w:tcPr>
            <w:tcW w:w="1920" w:type="dxa"/>
          </w:tcPr>
          <w:p>
            <w:pPr>
              <w:spacing w:before="0" w:after="0" w:line="240" w:lineRule="auto"/>
              <w:widowControl/>
            </w:pPr>
            <w:r>
              <w:rPr>
                <w:rFonts w:ascii="Arial" w:hAnsi="Arial"/>
                <w:sz w:val="17"/>
                <w:color w:val="142D45"/>
              </w:rPr>
              <w:t xml:space="preserve">2.6759</w:t>
            </w:r>
          </w:p>
        </w:tc>
        <w:tc>
          <w:tcPr>
            <w:tcW w:w="2060" w:type="dxa"/>
          </w:tcPr>
          <w:p>
            <w:pPr>
              <w:spacing w:before="0" w:after="0" w:line="240" w:lineRule="auto"/>
              <w:widowControl/>
            </w:pPr>
            <w:r>
              <w:rPr>
                <w:rFonts w:ascii="Arial" w:hAnsi="Arial"/>
                <w:sz w:val="17"/>
                <w:color w:val="142D45"/>
              </w:rPr>
              <w:t xml:space="preserve">98.79%</w:t>
            </w:r>
          </w:p>
        </w:tc>
      </w:tr>
      <w:tr>
        <w:trPr>
          <w:cantSplit/>
        </w:trPr>
        <w:tc>
          <w:tcPr>
            <w:tcW w:w="4000" w:type="dxa"/>
          </w:tcPr>
          <w:p>
            <w:pPr>
              <w:spacing w:before="0" w:after="0" w:line="240" w:lineRule="auto"/>
              <w:widowControl/>
            </w:pPr>
            <w:r>
              <w:rPr>
                <w:rFonts w:ascii="Arial" w:hAnsi="Arial"/>
                <w:sz w:val="17"/>
                <w:color w:val="142D45"/>
              </w:rPr>
              <w:t xml:space="preserve">Medium: 15–45 minutes</w:t>
            </w:r>
          </w:p>
        </w:tc>
        <w:tc>
          <w:tcPr>
            <w:tcW w:w="1920" w:type="dxa"/>
          </w:tcPr>
          <w:p>
            <w:pPr>
              <w:spacing w:before="0" w:after="0" w:line="240" w:lineRule="auto"/>
              <w:widowControl/>
            </w:pPr>
            <w:r>
              <w:rPr>
                <w:rFonts w:ascii="Arial" w:hAnsi="Arial"/>
                <w:sz w:val="17"/>
                <w:color w:val="142D45"/>
              </w:rPr>
              <w:t xml:space="preserve">222,430</w:t>
            </w:r>
          </w:p>
        </w:tc>
        <w:tc>
          <w:tcPr>
            <w:tcW w:w="1920" w:type="dxa"/>
          </w:tcPr>
          <w:p>
            <w:pPr>
              <w:spacing w:before="0" w:after="0" w:line="240" w:lineRule="auto"/>
              <w:widowControl/>
            </w:pPr>
            <w:r>
              <w:rPr>
                <w:rFonts w:ascii="Arial" w:hAnsi="Arial"/>
                <w:sz w:val="17"/>
                <w:color w:val="142D45"/>
              </w:rPr>
              <w:t xml:space="preserve">8.1626</w:t>
            </w:r>
          </w:p>
        </w:tc>
        <w:tc>
          <w:tcPr>
            <w:tcW w:w="2060" w:type="dxa"/>
          </w:tcPr>
          <w:p>
            <w:pPr>
              <w:spacing w:before="0" w:after="0" w:line="240" w:lineRule="auto"/>
              <w:widowControl/>
            </w:pPr>
            <w:r>
              <w:rPr>
                <w:rFonts w:ascii="Arial" w:hAnsi="Arial"/>
                <w:sz w:val="17"/>
                <w:color w:val="142D45"/>
              </w:rPr>
              <w:t xml:space="preserve">69.70%</w:t>
            </w:r>
          </w:p>
        </w:tc>
      </w:tr>
      <w:tr>
        <w:trPr>
          <w:cantSplit/>
        </w:trPr>
        <w:tc>
          <w:tcPr>
            <w:tcW w:w="4000" w:type="dxa"/>
          </w:tcPr>
          <w:p>
            <w:pPr>
              <w:spacing w:before="0" w:after="0" w:line="240" w:lineRule="auto"/>
              <w:widowControl/>
            </w:pPr>
            <w:r>
              <w:rPr>
                <w:rFonts w:ascii="Arial" w:hAnsi="Arial"/>
                <w:sz w:val="17"/>
                <w:color w:val="142D45"/>
              </w:rPr>
              <w:t xml:space="preserve">Long: over 45 minutes</w:t>
            </w:r>
          </w:p>
        </w:tc>
        <w:tc>
          <w:tcPr>
            <w:tcW w:w="1920" w:type="dxa"/>
          </w:tcPr>
          <w:p>
            <w:pPr>
              <w:spacing w:before="0" w:after="0" w:line="240" w:lineRule="auto"/>
              <w:widowControl/>
            </w:pPr>
            <w:r>
              <w:rPr>
                <w:rFonts w:ascii="Arial" w:hAnsi="Arial"/>
                <w:sz w:val="17"/>
                <w:color w:val="142D45"/>
              </w:rPr>
              <w:t xml:space="preserve">27,529</w:t>
            </w:r>
          </w:p>
        </w:tc>
        <w:tc>
          <w:tcPr>
            <w:tcW w:w="1920" w:type="dxa"/>
          </w:tcPr>
          <w:p>
            <w:pPr>
              <w:spacing w:before="0" w:after="0" w:line="240" w:lineRule="auto"/>
              <w:widowControl/>
            </w:pPr>
            <w:r>
              <w:rPr>
                <w:rFonts w:ascii="Arial" w:hAnsi="Arial"/>
                <w:sz w:val="17"/>
                <w:color w:val="142D45"/>
              </w:rPr>
              <w:t xml:space="preserve">34.7525</w:t>
            </w:r>
          </w:p>
        </w:tc>
        <w:tc>
          <w:tcPr>
            <w:tcW w:w="2060" w:type="dxa"/>
          </w:tcPr>
          <w:p>
            <w:pPr>
              <w:spacing w:before="0" w:after="0" w:line="240" w:lineRule="auto"/>
              <w:widowControl/>
            </w:pPr>
            <w:r>
              <w:rPr>
                <w:rFonts w:ascii="Arial" w:hAnsi="Arial"/>
                <w:sz w:val="17"/>
                <w:color w:val="142D45"/>
              </w:rPr>
              <w:t xml:space="preserve">19.71%</w:t>
            </w:r>
          </w:p>
        </w:tc>
      </w:tr>
    </w:tbl>
    <w:p>
      <w:pPr>
        <w:spacing w:before="0" w:after="0" w:line="200" w:lineRule="exact"/>
      </w:pPr>
    </w:p>
    <w:p>
      <w:pPr>
        <w:spacing w:before="0" w:after="120" w:line="270" w:lineRule="auto"/>
        <w:widowControl/>
      </w:pPr>
      <w:r>
        <w:rPr>
          <w:rFonts w:ascii="Arial" w:hAnsi="Arial"/>
          <w:sz w:val="19"/>
          <w:color w:val="142D45"/>
        </w:rPr>
        <w:t xml:space="preserve">The long-trip failure mode is material: a single ETA should not be presented as a guaranteed arrival time. The duration segments above use actual outcomes for retrospective diagnosis; they are not pre-trip routing labels. Next development should target calibrated prediction intervals, long-trip coverage, and representative rolling-period evaluation.</w:t>
      </w:r>
    </w:p>
    <w:p>
      <w:pPr>
        <w:spacing w:before="0" w:after="70" w:line="270" w:lineRule="auto"/>
        <w:widowControl/>
      </w:pPr>
      <w:r>
        <w:rPr>
          <w:rFonts w:ascii="Arial" w:hAnsi="Arial"/>
          <w:sz w:val="16"/>
          <w:color w:val="142D45"/>
        </w:rPr>
        <w:t xml:space="preserve">The local artifact models/arrival_time_estimator.pkl is available. Reported performance comes from the saved notebook run; local artifact presence alone does not establish an exact artifact-to-metric version match.</w:t>
      </w:r>
    </w:p>
    <w:p>
      <w:r>
        <w:br w:type="page"/>
      </w:r>
    </w:p>
    <w:p>
      <w:pPr>
        <w:spacing w:before="0" w:after="200" w:line="270" w:lineRule="auto"/>
        <w:keepNext/>
        <w:outlineLvl w:val="0"/>
        <w:widowControl/>
      </w:pPr>
      <w:r>
        <w:rPr>
          <w:rFonts w:ascii="Arial" w:hAnsi="Arial"/>
          <w:sz w:val="38"/>
          <w:color w:val="142D45"/>
          <w:b/>
        </w:rPr>
        <w:t xml:space="preserve">08 / Fleet demand forecasting experiment</w:t>
      </w:r>
    </w:p>
    <w:p>
      <w:pPr>
        <w:spacing w:before="0" w:after="120" w:line="270" w:lineRule="auto"/>
        <w:widowControl/>
      </w:pPr>
      <w:r>
        <w:rPr>
          <w:rFonts w:ascii="Arial" w:hAnsi="Arial"/>
          <w:sz w:val="19"/>
          <w:color w:val="142D45"/>
        </w:rPr>
        <w:t xml:space="preserve">The Fleet Dispatcher notebook aggregates pickups into an hourly grid for ten high-volume zones over the intended 12-month window. It removes out-of-window timestamps and zero-fills missing zone-hours. Its 27 predictors combine zone identity, calendar encodings, lags of 1, 2, 3, 6, 12, 24, 48, 72 and 168 hours, and shifted rolling means over 3, 6, 12, 24 and 168 hours. [S4]</w:t>
      </w:r>
    </w:p>
    <w:p>
      <w:pPr>
        <w:spacing w:before="0" w:after="120" w:line="270" w:lineRule="auto"/>
        <w:widowControl/>
      </w:pPr>
      <w:r>
        <w:rPr>
          <w:rFonts w:ascii="Arial" w:hAnsi="Arial"/>
          <w:sz w:val="19"/>
          <w:color w:val="142D45"/>
        </w:rPr>
        <w:t xml:space="preserve">A LightGBM regressor uses up to 800 trees, learning rate 0.04, 63 leaves, L2 regularization 1.0, and seed 42. The split reserves the final 30 days for test and the preceding 14 days for validation. Evaluation uses the first 72 hours of those windows; predictions recursively replace unavailable future lag values.</w:t>
      </w:r>
    </w:p>
    <w:p>
      <w:pPr>
        <w:spacing w:before="90" w:after="70" w:line="270" w:lineRule="auto"/>
        <w:keepNext/>
        <w:outlineLvl w:val="1"/>
        <w:widowControl/>
      </w:pPr>
      <w:r>
        <w:rPr>
          <w:rFonts w:ascii="Arial" w:hAnsi="Arial"/>
          <w:sz w:val="23"/>
          <w:color w:val="087E8B"/>
          <w:b/>
        </w:rPr>
        <w:t xml:space="preserve">Validation-selected strategies</w:t>
      </w:r>
    </w:p>
    <w:p>
      <w:pPr>
        <w:spacing w:before="0" w:after="120" w:line="270" w:lineRule="auto"/>
        <w:widowControl/>
      </w:pPr>
      <w:r>
        <w:rPr>
          <w:rFonts w:ascii="Arial" w:hAnsi="Arial"/>
          <w:sz w:val="19"/>
          <w:color w:val="142D45"/>
        </w:rPr>
        <w:t xml:space="preserve">Candidate strategies include LightGBM, last-observation persistence, a 168-hour seasonal baseline, and weighted blends. Validation selects a 75% LightGBM / 25% persistence blend for hours 1–24 and 25–48, and LightGBM for hours 49–72. Their saved validation WAPEs are 33.7%, 20.8%, and 13.4%, respectively.</w:t>
      </w:r>
    </w:p>
    <w:tbl>
      <w:tblPr>
        <w:tblW w:w="9900" w:type="dxa"/>
        <w:tblLayout w:type="fixed"/>
        <w:tblCellMar>
          <w:top w:w="90" w:type="dxa"/>
          <w:left w:w="130" w:type="dxa"/>
          <w:bottom w:w="90" w:type="dxa"/>
          <w:right w:w="130" w:type="dxa"/>
        </w:tblCellMar>
        <w:tblBorders>
          <w:insideH w:val="single" w:sz="3" w:color="CFDCE3"/>
        </w:tblBorders>
      </w:tblPr>
      <w:tblGrid>
        <w:gridCol w:w="3300"/>
        <w:gridCol w:w="2200"/>
        <w:gridCol w:w="2400"/>
        <w:gridCol w:w="2000"/>
      </w:tblGrid>
      <w:tr>
        <w:trPr>
          <w:cantSplit/>
          <w:tblHeader/>
        </w:trPr>
        <w:tc>
          <w:tcPr>
            <w:tcW w:w="3300" w:type="dxa"/>
            <w:shd w:fill="EAF3F6"/>
          </w:tcPr>
          <w:p>
            <w:pPr>
              <w:spacing w:before="0" w:after="0" w:line="240" w:lineRule="auto"/>
              <w:widowControl/>
            </w:pPr>
            <w:r>
              <w:rPr>
                <w:rFonts w:ascii="Arial" w:hAnsi="Arial"/>
                <w:sz w:val="17"/>
                <w:color w:val="142D45"/>
              </w:rPr>
              <w:t xml:space="preserve">Saved test horizon</w:t>
            </w:r>
          </w:p>
        </w:tc>
        <w:tc>
          <w:tcPr>
            <w:tcW w:w="2200" w:type="dxa"/>
            <w:shd w:fill="EAF3F6"/>
          </w:tcPr>
          <w:p>
            <w:pPr>
              <w:spacing w:before="0" w:after="0" w:line="240" w:lineRule="auto"/>
              <w:widowControl/>
            </w:pPr>
            <w:r>
              <w:rPr>
                <w:rFonts w:ascii="Arial" w:hAnsi="Arial"/>
                <w:sz w:val="17"/>
                <w:color w:val="142D45"/>
              </w:rPr>
              <w:t xml:space="preserve">MAE (pickups)</w:t>
            </w:r>
          </w:p>
        </w:tc>
        <w:tc>
          <w:tcPr>
            <w:tcW w:w="2400" w:type="dxa"/>
            <w:shd w:fill="EAF3F6"/>
          </w:tcPr>
          <w:p>
            <w:pPr>
              <w:spacing w:before="0" w:after="0" w:line="240" w:lineRule="auto"/>
              <w:widowControl/>
            </w:pPr>
            <w:r>
              <w:rPr>
                <w:rFonts w:ascii="Arial" w:hAnsi="Arial"/>
                <w:sz w:val="17"/>
                <w:color w:val="142D45"/>
              </w:rPr>
              <w:t xml:space="preserve">RMSE (pickups)</w:t>
            </w:r>
          </w:p>
        </w:tc>
        <w:tc>
          <w:tcPr>
            <w:tcW w:w="2000" w:type="dxa"/>
            <w:shd w:fill="EAF3F6"/>
          </w:tcPr>
          <w:p>
            <w:pPr>
              <w:spacing w:before="0" w:after="0" w:line="240" w:lineRule="auto"/>
              <w:widowControl/>
            </w:pPr>
            <w:r>
              <w:rPr>
                <w:rFonts w:ascii="Arial" w:hAnsi="Arial"/>
                <w:sz w:val="17"/>
                <w:color w:val="142D45"/>
              </w:rPr>
              <w:t xml:space="preserve">WAPE</w:t>
            </w:r>
          </w:p>
        </w:tc>
      </w:tr>
      <w:tr>
        <w:trPr>
          <w:cantSplit/>
        </w:trPr>
        <w:tc>
          <w:tcPr>
            <w:tcW w:w="3300" w:type="dxa"/>
          </w:tcPr>
          <w:p>
            <w:pPr>
              <w:spacing w:before="0" w:after="0" w:line="240" w:lineRule="auto"/>
              <w:widowControl/>
            </w:pPr>
            <w:r>
              <w:rPr>
                <w:rFonts w:ascii="Arial" w:hAnsi="Arial"/>
                <w:sz w:val="17"/>
                <w:color w:val="142D45"/>
              </w:rPr>
              <w:t xml:space="preserve">1–24 hours</w:t>
            </w:r>
          </w:p>
        </w:tc>
        <w:tc>
          <w:tcPr>
            <w:tcW w:w="2200" w:type="dxa"/>
          </w:tcPr>
          <w:p>
            <w:pPr>
              <w:spacing w:before="0" w:after="0" w:line="240" w:lineRule="auto"/>
              <w:widowControl/>
            </w:pPr>
            <w:r>
              <w:rPr>
                <w:rFonts w:ascii="Arial" w:hAnsi="Arial"/>
                <w:sz w:val="17"/>
                <w:color w:val="142D45"/>
              </w:rPr>
              <w:t xml:space="preserve">67.769</w:t>
            </w:r>
          </w:p>
        </w:tc>
        <w:tc>
          <w:tcPr>
            <w:tcW w:w="2400" w:type="dxa"/>
          </w:tcPr>
          <w:p>
            <w:pPr>
              <w:spacing w:before="0" w:after="0" w:line="240" w:lineRule="auto"/>
              <w:widowControl/>
            </w:pPr>
            <w:r>
              <w:rPr>
                <w:rFonts w:ascii="Arial" w:hAnsi="Arial"/>
                <w:sz w:val="17"/>
                <w:color w:val="142D45"/>
              </w:rPr>
              <w:t xml:space="preserve">98.469</w:t>
            </w:r>
          </w:p>
        </w:tc>
        <w:tc>
          <w:tcPr>
            <w:tcW w:w="2000" w:type="dxa"/>
          </w:tcPr>
          <w:p>
            <w:pPr>
              <w:spacing w:before="0" w:after="0" w:line="240" w:lineRule="auto"/>
              <w:widowControl/>
            </w:pPr>
            <w:r>
              <w:rPr>
                <w:rFonts w:ascii="Arial" w:hAnsi="Arial"/>
                <w:sz w:val="17"/>
                <w:color w:val="142D45"/>
              </w:rPr>
              <w:t xml:space="preserve">38.0%</w:t>
            </w:r>
          </w:p>
        </w:tc>
      </w:tr>
      <w:tr>
        <w:trPr>
          <w:cantSplit/>
        </w:trPr>
        <w:tc>
          <w:tcPr>
            <w:tcW w:w="3300" w:type="dxa"/>
          </w:tcPr>
          <w:p>
            <w:pPr>
              <w:spacing w:before="0" w:after="0" w:line="240" w:lineRule="auto"/>
              <w:widowControl/>
            </w:pPr>
            <w:r>
              <w:rPr>
                <w:rFonts w:ascii="Arial" w:hAnsi="Arial"/>
                <w:sz w:val="17"/>
                <w:color w:val="142D45"/>
              </w:rPr>
              <w:t xml:space="preserve">25–48 hours</w:t>
            </w:r>
          </w:p>
        </w:tc>
        <w:tc>
          <w:tcPr>
            <w:tcW w:w="2200" w:type="dxa"/>
          </w:tcPr>
          <w:p>
            <w:pPr>
              <w:spacing w:before="0" w:after="0" w:line="240" w:lineRule="auto"/>
              <w:widowControl/>
            </w:pPr>
            <w:r>
              <w:rPr>
                <w:rFonts w:ascii="Arial" w:hAnsi="Arial"/>
                <w:sz w:val="17"/>
                <w:color w:val="142D45"/>
              </w:rPr>
              <w:t xml:space="preserve">85.123</w:t>
            </w:r>
          </w:p>
        </w:tc>
        <w:tc>
          <w:tcPr>
            <w:tcW w:w="2400" w:type="dxa"/>
          </w:tcPr>
          <w:p>
            <w:pPr>
              <w:spacing w:before="0" w:after="0" w:line="240" w:lineRule="auto"/>
              <w:widowControl/>
            </w:pPr>
            <w:r>
              <w:rPr>
                <w:rFonts w:ascii="Arial" w:hAnsi="Arial"/>
                <w:sz w:val="17"/>
                <w:color w:val="142D45"/>
              </w:rPr>
              <w:t xml:space="preserve">122.287</w:t>
            </w:r>
          </w:p>
        </w:tc>
        <w:tc>
          <w:tcPr>
            <w:tcW w:w="2000" w:type="dxa"/>
          </w:tcPr>
          <w:p>
            <w:pPr>
              <w:spacing w:before="0" w:after="0" w:line="240" w:lineRule="auto"/>
              <w:widowControl/>
            </w:pPr>
            <w:r>
              <w:rPr>
                <w:rFonts w:ascii="Arial" w:hAnsi="Arial"/>
                <w:sz w:val="17"/>
                <w:color w:val="142D45"/>
              </w:rPr>
              <w:t xml:space="preserve">41.3%</w:t>
            </w:r>
          </w:p>
        </w:tc>
      </w:tr>
      <w:tr>
        <w:trPr>
          <w:cantSplit/>
        </w:trPr>
        <w:tc>
          <w:tcPr>
            <w:tcW w:w="3300" w:type="dxa"/>
          </w:tcPr>
          <w:p>
            <w:pPr>
              <w:spacing w:before="0" w:after="0" w:line="240" w:lineRule="auto"/>
              <w:widowControl/>
            </w:pPr>
            <w:r>
              <w:rPr>
                <w:rFonts w:ascii="Arial" w:hAnsi="Arial"/>
                <w:sz w:val="17"/>
                <w:color w:val="142D45"/>
              </w:rPr>
              <w:t xml:space="preserve">49–72 hours</w:t>
            </w:r>
          </w:p>
        </w:tc>
        <w:tc>
          <w:tcPr>
            <w:tcW w:w="2200" w:type="dxa"/>
          </w:tcPr>
          <w:p>
            <w:pPr>
              <w:spacing w:before="0" w:after="0" w:line="240" w:lineRule="auto"/>
              <w:widowControl/>
            </w:pPr>
            <w:r>
              <w:rPr>
                <w:rFonts w:ascii="Arial" w:hAnsi="Arial"/>
                <w:sz w:val="17"/>
                <w:color w:val="142D45"/>
              </w:rPr>
              <w:t xml:space="preserve">35.943</w:t>
            </w:r>
          </w:p>
        </w:tc>
        <w:tc>
          <w:tcPr>
            <w:tcW w:w="2400" w:type="dxa"/>
          </w:tcPr>
          <w:p>
            <w:pPr>
              <w:spacing w:before="0" w:after="0" w:line="240" w:lineRule="auto"/>
              <w:widowControl/>
            </w:pPr>
            <w:r>
              <w:rPr>
                <w:rFonts w:ascii="Arial" w:hAnsi="Arial"/>
                <w:sz w:val="17"/>
                <w:color w:val="142D45"/>
              </w:rPr>
              <w:t xml:space="preserve">55.521</w:t>
            </w:r>
          </w:p>
        </w:tc>
        <w:tc>
          <w:tcPr>
            <w:tcW w:w="2000" w:type="dxa"/>
          </w:tcPr>
          <w:p>
            <w:pPr>
              <w:spacing w:before="0" w:after="0" w:line="240" w:lineRule="auto"/>
              <w:widowControl/>
            </w:pPr>
            <w:r>
              <w:rPr>
                <w:rFonts w:ascii="Arial" w:hAnsi="Arial"/>
                <w:sz w:val="17"/>
                <w:color w:val="142D45"/>
              </w:rPr>
              <w:t xml:space="preserve">18.8%</w:t>
            </w:r>
          </w:p>
        </w:tc>
      </w:tr>
    </w:tbl>
    <w:p>
      <w:pPr>
        <w:spacing w:before="0" w:after="0" w:line="200" w:lineRule="exact"/>
      </w:pPr>
    </w:p>
    <w:p>
      <w:pPr>
        <w:spacing w:before="0" w:after="120" w:line="270" w:lineRule="auto"/>
        <w:widowControl/>
      </w:pPr>
      <w:r>
        <w:rPr>
          <w:rFonts w:ascii="Arial" w:hAnsi="Arial"/>
          <w:sz w:val="19"/>
          <w:color w:val="142D45"/>
        </w:rPr>
        <w:t xml:space="preserve">The reported 32.7% mean test WAPE is the arithmetic mean of the three horizon WAPEs, not a pooled WAPE over all observations. WAPE = sum(|actual − predicted|) / sum(|actual|); it is undefined when total actual demand is zero. Horizon-specific reporting is preferable to hiding variation in one number.</w:t>
      </w:r>
    </w:p>
    <w:p>
      <w:pPr>
        <w:spacing w:before="90" w:after="70" w:line="270" w:lineRule="auto"/>
        <w:keepNext/>
        <w:outlineLvl w:val="1"/>
        <w:widowControl/>
      </w:pPr>
      <w:r>
        <w:rPr>
          <w:rFonts w:ascii="Arial" w:hAnsi="Arial"/>
          <w:sz w:val="23"/>
          <w:color w:val="087E8B"/>
          <w:b/>
        </w:rPr>
        <w:t xml:space="preserve">Operational output and evaluation limits</w:t>
      </w:r>
    </w:p>
    <w:p>
      <w:pPr>
        <w:spacing w:before="0" w:after="120" w:line="270" w:lineRule="auto"/>
        <w:widowControl/>
      </w:pPr>
      <w:r>
        <w:rPr>
          <w:rFonts w:ascii="Arial" w:hAnsi="Arial"/>
          <w:sz w:val="19"/>
          <w:color w:val="142D45"/>
        </w:rPr>
        <w:t xml:space="preserve">The notebook ranks predicted pickups over 6, 12, 24, and 72 hours. Its saved six-hour ranking places JFK Airport first, Times Square second, and LaGuardia third. These are historical forecast outputs, not current September demand observations.</w:t>
      </w:r>
    </w:p>
    <w:p>
      <w:pPr>
        <w:spacing w:before="0" w:after="120" w:line="270" w:lineRule="auto"/>
        <w:widowControl/>
      </w:pPr>
      <w:r>
        <w:rPr>
          <w:rFonts w:ascii="Arial" w:hAnsi="Arial"/>
          <w:sz w:val="19"/>
          <w:color w:val="142D45"/>
        </w:rPr>
        <w:t xml:space="preserve">Ten zones are selected using full-window volume, so a stricter prospective experiment should select them using training data only. One 72-hour origin does not establish seasonal robustness. The early previous-hour diagnostic uses observed preceding test hours, whereas the selected strategy uses recursive persistence; those baseline protocols should not be conflated. Fleet artifacts referenced by the notebook are absent locally, and this model is not wired into the dashboard demand page.</w:t>
      </w:r>
    </w:p>
    <w:p>
      <w:r>
        <w:br w:type="page"/>
      </w:r>
    </w:p>
    <w:p>
      <w:pPr>
        <w:spacing w:before="0" w:after="200" w:line="270" w:lineRule="auto"/>
        <w:keepNext/>
        <w:outlineLvl w:val="0"/>
        <w:widowControl/>
      </w:pPr>
      <w:r>
        <w:rPr>
          <w:rFonts w:ascii="Arial" w:hAnsi="Arial"/>
          <w:sz w:val="38"/>
          <w:color w:val="142D45"/>
          <w:b/>
        </w:rPr>
        <w:t xml:space="preserve">09 / Implemented dashboard demand baseline</w:t>
      </w:r>
    </w:p>
    <w:p>
      <w:pPr>
        <w:spacing w:before="0" w:after="120" w:line="270" w:lineRule="auto"/>
        <w:widowControl/>
      </w:pPr>
      <w:r>
        <w:rPr>
          <w:rFonts w:ascii="Arial" w:hAnsi="Arial"/>
          <w:sz w:val="19"/>
          <w:color w:val="142D45"/>
        </w:rPr>
        <w:t xml:space="preserve">The current Streamlit demand page uses a transparent seasonal-average baseline, separate from the fleet experiment. DuckDB reads pickup timestamp and origin ID from the cleaned Parquet file and aggregates hourly counts. Cached summaries support borough, zone, and two/four/eight-week history filters. Missing hours are zero-filled. [S5]</w:t>
      </w:r>
    </w:p>
    <w:p>
      <w:pPr>
        <w:spacing w:before="0" w:after="120" w:line="270" w:lineRule="auto"/>
        <w:widowControl/>
      </w:pPr>
      <w:r>
        <w:rPr>
          <w:rFonts w:ascii="Arial" w:hAnsi="Arial"/>
          <w:sz w:val="19"/>
          <w:color w:val="142D45"/>
        </w:rPr>
        <w:t xml:space="preserve">For each of the next 168 hours, the prediction is the mean recorded pickup count for matching weekdays and hours in the selected history. The final source calendar day is excluded because it may be incomplete. The chart reports daily totals, while the CSV preserves hourly forecasts; a heatmap and top-zone chart summarize the same selection.</w:t>
      </w:r>
    </w:p>
    <w:tbl>
      <w:tblPr>
        <w:tblW w:w="9900" w:type="dxa"/>
        <w:tblLayout w:type="fixed"/>
        <w:tblCellMar>
          <w:top w:w="90" w:type="dxa"/>
          <w:left w:w="130" w:type="dxa"/>
          <w:bottom w:w="90" w:type="dxa"/>
          <w:right w:w="130" w:type="dxa"/>
        </w:tblCellMar>
        <w:tblBorders>
          <w:insideH w:val="single" w:sz="3" w:color="CFDCE3"/>
        </w:tblBorders>
      </w:tblPr>
      <w:tblGrid>
        <w:gridCol w:w="5200"/>
        <w:gridCol w:w="4700"/>
      </w:tblGrid>
      <w:tr>
        <w:trPr>
          <w:cantSplit/>
          <w:tblHeader/>
        </w:trPr>
        <w:tc>
          <w:tcPr>
            <w:tcW w:w="5200" w:type="dxa"/>
            <w:shd w:fill="EAF3F6"/>
          </w:tcPr>
          <w:p>
            <w:pPr>
              <w:spacing w:before="0" w:after="0" w:line="240" w:lineRule="auto"/>
              <w:widowControl/>
            </w:pPr>
            <w:r>
              <w:rPr>
                <w:rFonts w:ascii="Arial" w:hAnsi="Arial"/>
                <w:sz w:val="17"/>
                <w:color w:val="142D45"/>
              </w:rPr>
              <w:t xml:space="preserve">Fresh all-zone check, 11 September 2026</w:t>
            </w:r>
          </w:p>
        </w:tc>
        <w:tc>
          <w:tcPr>
            <w:tcW w:w="4700" w:type="dxa"/>
            <w:shd w:fill="EAF3F6"/>
          </w:tcPr>
          <w:p>
            <w:pPr>
              <w:spacing w:before="0" w:after="0" w:line="240" w:lineRule="auto"/>
              <w:widowControl/>
            </w:pPr>
            <w:r>
              <w:rPr>
                <w:rFonts w:ascii="Arial" w:hAnsi="Arial"/>
                <w:sz w:val="17"/>
                <w:color w:val="142D45"/>
              </w:rPr>
              <w:t xml:space="preserve">Result</w:t>
            </w:r>
          </w:p>
        </w:tc>
      </w:tr>
      <w:tr>
        <w:trPr>
          <w:cantSplit/>
        </w:trPr>
        <w:tc>
          <w:tcPr>
            <w:tcW w:w="5200" w:type="dxa"/>
          </w:tcPr>
          <w:p>
            <w:pPr>
              <w:spacing w:before="0" w:after="0" w:line="240" w:lineRule="auto"/>
              <w:widowControl/>
            </w:pPr>
            <w:r>
              <w:rPr>
                <w:rFonts w:ascii="Arial" w:hAnsi="Arial"/>
                <w:sz w:val="17"/>
                <w:color w:val="142D45"/>
              </w:rPr>
              <w:t xml:space="preserve">Historical window</w:t>
            </w:r>
          </w:p>
        </w:tc>
        <w:tc>
          <w:tcPr>
            <w:tcW w:w="4700" w:type="dxa"/>
          </w:tcPr>
          <w:p>
            <w:pPr>
              <w:spacing w:before="0" w:after="0" w:line="240" w:lineRule="auto"/>
              <w:widowControl/>
            </w:pPr>
            <w:r>
              <w:rPr>
                <w:rFonts w:ascii="Arial" w:hAnsi="Arial"/>
                <w:sz w:val="17"/>
                <w:color w:val="142D45"/>
              </w:rPr>
              <w:t xml:space="preserve">4 February–31 March 2026 (56 days)</w:t>
            </w:r>
          </w:p>
        </w:tc>
      </w:tr>
      <w:tr>
        <w:trPr>
          <w:cantSplit/>
        </w:trPr>
        <w:tc>
          <w:tcPr>
            <w:tcW w:w="5200" w:type="dxa"/>
          </w:tcPr>
          <w:p>
            <w:pPr>
              <w:spacing w:before="0" w:after="0" w:line="240" w:lineRule="auto"/>
              <w:widowControl/>
            </w:pPr>
            <w:r>
              <w:rPr>
                <w:rFonts w:ascii="Arial" w:hAnsi="Arial"/>
                <w:sz w:val="17"/>
                <w:color w:val="142D45"/>
              </w:rPr>
              <w:t xml:space="preserve">Recorded pickups</w:t>
            </w:r>
          </w:p>
        </w:tc>
        <w:tc>
          <w:tcPr>
            <w:tcW w:w="4700" w:type="dxa"/>
          </w:tcPr>
          <w:p>
            <w:pPr>
              <w:spacing w:before="0" w:after="0" w:line="240" w:lineRule="auto"/>
              <w:widowControl/>
            </w:pPr>
            <w:r>
              <w:rPr>
                <w:rFonts w:ascii="Arial" w:hAnsi="Arial"/>
                <w:sz w:val="17"/>
                <w:color w:val="142D45"/>
              </w:rPr>
              <w:t xml:space="preserve">6,920,063</w:t>
            </w:r>
          </w:p>
        </w:tc>
      </w:tr>
      <w:tr>
        <w:trPr>
          <w:cantSplit/>
        </w:trPr>
        <w:tc>
          <w:tcPr>
            <w:tcW w:w="5200" w:type="dxa"/>
          </w:tcPr>
          <w:p>
            <w:pPr>
              <w:spacing w:before="0" w:after="0" w:line="240" w:lineRule="auto"/>
              <w:widowControl/>
            </w:pPr>
            <w:r>
              <w:rPr>
                <w:rFonts w:ascii="Arial" w:hAnsi="Arial"/>
                <w:sz w:val="17"/>
                <w:color w:val="142D45"/>
              </w:rPr>
              <w:t xml:space="preserve">Mean daily pickups</w:t>
            </w:r>
          </w:p>
        </w:tc>
        <w:tc>
          <w:tcPr>
            <w:tcW w:w="4700" w:type="dxa"/>
          </w:tcPr>
          <w:p>
            <w:pPr>
              <w:spacing w:before="0" w:after="0" w:line="240" w:lineRule="auto"/>
              <w:widowControl/>
            </w:pPr>
            <w:r>
              <w:rPr>
                <w:rFonts w:ascii="Arial" w:hAnsi="Arial"/>
                <w:sz w:val="17"/>
                <w:color w:val="142D45"/>
              </w:rPr>
              <w:t xml:space="preserve">123,572.55</w:t>
            </w:r>
          </w:p>
        </w:tc>
      </w:tr>
      <w:tr>
        <w:trPr>
          <w:cantSplit/>
        </w:trPr>
        <w:tc>
          <w:tcPr>
            <w:tcW w:w="5200" w:type="dxa"/>
          </w:tcPr>
          <w:p>
            <w:pPr>
              <w:spacing w:before="0" w:after="0" w:line="240" w:lineRule="auto"/>
              <w:widowControl/>
            </w:pPr>
            <w:r>
              <w:rPr>
                <w:rFonts w:ascii="Arial" w:hAnsi="Arial"/>
                <w:sz w:val="17"/>
                <w:color w:val="142D45"/>
              </w:rPr>
              <w:t xml:space="preserve">Seven-day forecast total</w:t>
            </w:r>
          </w:p>
        </w:tc>
        <w:tc>
          <w:tcPr>
            <w:tcW w:w="4700" w:type="dxa"/>
          </w:tcPr>
          <w:p>
            <w:pPr>
              <w:spacing w:before="0" w:after="0" w:line="240" w:lineRule="auto"/>
              <w:widowControl/>
            </w:pPr>
            <w:r>
              <w:rPr>
                <w:rFonts w:ascii="Arial" w:hAnsi="Arial"/>
                <w:sz w:val="17"/>
                <w:color w:val="142D45"/>
              </w:rPr>
              <w:t xml:space="preserve">865,007.88 pickups</w:t>
            </w:r>
          </w:p>
        </w:tc>
      </w:tr>
      <w:tr>
        <w:trPr>
          <w:cantSplit/>
        </w:trPr>
        <w:tc>
          <w:tcPr>
            <w:tcW w:w="5200" w:type="dxa"/>
          </w:tcPr>
          <w:p>
            <w:pPr>
              <w:spacing w:before="0" w:after="0" w:line="240" w:lineRule="auto"/>
              <w:widowControl/>
            </w:pPr>
            <w:r>
              <w:rPr>
                <w:rFonts w:ascii="Arial" w:hAnsi="Arial"/>
                <w:sz w:val="17"/>
                <w:color w:val="142D45"/>
              </w:rPr>
              <w:t xml:space="preserve">Forecast dates</w:t>
            </w:r>
          </w:p>
        </w:tc>
        <w:tc>
          <w:tcPr>
            <w:tcW w:w="4700" w:type="dxa"/>
          </w:tcPr>
          <w:p>
            <w:pPr>
              <w:spacing w:before="0" w:after="0" w:line="240" w:lineRule="auto"/>
              <w:widowControl/>
            </w:pPr>
            <w:r>
              <w:rPr>
                <w:rFonts w:ascii="Arial" w:hAnsi="Arial"/>
                <w:sz w:val="17"/>
                <w:color w:val="142D45"/>
              </w:rPr>
              <w:t xml:space="preserve">1–7 April 2026; anchored to dataset end</w:t>
            </w:r>
          </w:p>
        </w:tc>
      </w:tr>
      <w:tr>
        <w:trPr>
          <w:cantSplit/>
        </w:trPr>
        <w:tc>
          <w:tcPr>
            <w:tcW w:w="5200" w:type="dxa"/>
          </w:tcPr>
          <w:p>
            <w:pPr>
              <w:spacing w:before="0" w:after="0" w:line="240" w:lineRule="auto"/>
              <w:widowControl/>
            </w:pPr>
            <w:r>
              <w:rPr>
                <w:rFonts w:ascii="Arial" w:hAnsi="Arial"/>
                <w:sz w:val="17"/>
                <w:color w:val="142D45"/>
              </w:rPr>
              <w:t xml:space="preserve">Held-out week</w:t>
            </w:r>
          </w:p>
        </w:tc>
        <w:tc>
          <w:tcPr>
            <w:tcW w:w="4700" w:type="dxa"/>
          </w:tcPr>
          <w:p>
            <w:pPr>
              <w:spacing w:before="0" w:after="0" w:line="240" w:lineRule="auto"/>
              <w:widowControl/>
            </w:pPr>
            <w:r>
              <w:rPr>
                <w:rFonts w:ascii="Arial" w:hAnsi="Arial"/>
                <w:sz w:val="17"/>
                <w:color w:val="142D45"/>
              </w:rPr>
              <w:t xml:space="preserve">25–31 March 2026</w:t>
            </w:r>
          </w:p>
        </w:tc>
      </w:tr>
      <w:tr>
        <w:trPr>
          <w:cantSplit/>
        </w:trPr>
        <w:tc>
          <w:tcPr>
            <w:tcW w:w="5200" w:type="dxa"/>
          </w:tcPr>
          <w:p>
            <w:pPr>
              <w:spacing w:before="0" w:after="0" w:line="240" w:lineRule="auto"/>
              <w:widowControl/>
            </w:pPr>
            <w:r>
              <w:rPr>
                <w:rFonts w:ascii="Arial" w:hAnsi="Arial"/>
                <w:sz w:val="17"/>
                <w:color w:val="142D45"/>
              </w:rPr>
              <w:t xml:space="preserve">Backtest training</w:t>
            </w:r>
          </w:p>
        </w:tc>
        <w:tc>
          <w:tcPr>
            <w:tcW w:w="4700" w:type="dxa"/>
          </w:tcPr>
          <w:p>
            <w:pPr>
              <w:spacing w:before="0" w:after="0" w:line="240" w:lineRule="auto"/>
              <w:widowControl/>
            </w:pPr>
            <w:r>
              <w:rPr>
                <w:rFonts w:ascii="Arial" w:hAnsi="Arial"/>
                <w:sz w:val="17"/>
                <w:color w:val="142D45"/>
              </w:rPr>
              <w:t xml:space="preserve">4 February–24 March 2026</w:t>
            </w:r>
          </w:p>
        </w:tc>
      </w:tr>
      <w:tr>
        <w:trPr>
          <w:cantSplit/>
        </w:trPr>
        <w:tc>
          <w:tcPr>
            <w:tcW w:w="5200" w:type="dxa"/>
          </w:tcPr>
          <w:p>
            <w:pPr>
              <w:spacing w:before="0" w:after="0" w:line="240" w:lineRule="auto"/>
              <w:widowControl/>
            </w:pPr>
            <w:r>
              <w:rPr>
                <w:rFonts w:ascii="Arial" w:hAnsi="Arial"/>
                <w:sz w:val="17"/>
                <w:color w:val="142D45"/>
              </w:rPr>
              <w:t xml:space="preserve">Held-out hourly MAE</w:t>
            </w:r>
          </w:p>
        </w:tc>
        <w:tc>
          <w:tcPr>
            <w:tcW w:w="4700" w:type="dxa"/>
          </w:tcPr>
          <w:p>
            <w:pPr>
              <w:spacing w:before="0" w:after="0" w:line="240" w:lineRule="auto"/>
              <w:widowControl/>
            </w:pPr>
            <w:r>
              <w:rPr>
                <w:rFonts w:ascii="Arial" w:hAnsi="Arial"/>
                <w:sz w:val="17"/>
                <w:color w:val="142D45"/>
              </w:rPr>
              <w:t xml:space="preserve">466.34 aggregate pickups</w:t>
            </w:r>
          </w:p>
        </w:tc>
      </w:tr>
      <w:tr>
        <w:trPr>
          <w:cantSplit/>
        </w:trPr>
        <w:tc>
          <w:tcPr>
            <w:tcW w:w="5200" w:type="dxa"/>
          </w:tcPr>
          <w:p>
            <w:pPr>
              <w:spacing w:before="0" w:after="0" w:line="240" w:lineRule="auto"/>
              <w:widowControl/>
            </w:pPr>
            <w:r>
              <w:rPr>
                <w:rFonts w:ascii="Arial" w:hAnsi="Arial"/>
                <w:sz w:val="17"/>
                <w:color w:val="142D45"/>
              </w:rPr>
              <w:t xml:space="preserve">Held-out aggregate WAPE</w:t>
            </w:r>
          </w:p>
        </w:tc>
        <w:tc>
          <w:tcPr>
            <w:tcW w:w="4700" w:type="dxa"/>
          </w:tcPr>
          <w:p>
            <w:pPr>
              <w:spacing w:before="0" w:after="0" w:line="240" w:lineRule="auto"/>
              <w:widowControl/>
            </w:pPr>
            <w:r>
              <w:rPr>
                <w:rFonts w:ascii="Arial" w:hAnsi="Arial"/>
                <w:sz w:val="17"/>
                <w:color w:val="142D45"/>
              </w:rPr>
              <w:t xml:space="preserve">9.43%</w:t>
            </w:r>
          </w:p>
        </w:tc>
      </w:tr>
    </w:tbl>
    <w:p>
      <w:pPr>
        <w:spacing w:before="0" w:after="0" w:line="200" w:lineRule="exact"/>
      </w:pPr>
    </w:p>
    <w:p>
      <w:pPr>
        <w:spacing w:before="90" w:after="70" w:line="270" w:lineRule="auto"/>
        <w:keepNext/>
        <w:outlineLvl w:val="1"/>
        <w:widowControl/>
      </w:pPr>
      <w:r>
        <w:rPr>
          <w:rFonts w:ascii="Arial" w:hAnsi="Arial"/>
          <w:sz w:val="23"/>
          <w:color w:val="087E8B"/>
          <w:b/>
        </w:rPr>
        <w:t xml:space="preserve">Meaning of this result</w:t>
      </w:r>
    </w:p>
    <w:p>
      <w:pPr>
        <w:spacing w:before="0" w:after="120" w:line="270" w:lineRule="auto"/>
        <w:widowControl/>
      </w:pPr>
      <w:r>
        <w:rPr>
          <w:rFonts w:ascii="Arial" w:hAnsi="Arial"/>
          <w:sz w:val="19"/>
          <w:color w:val="142D45"/>
        </w:rPr>
        <w:t xml:space="preserve">This is a fresh fixed-origin check of the implemented function, with all 168 held-out hours excluded from the profile. It measures city-wide recorded pickup volume, not per-zone fleet prediction. Aggregation smooths local variation, so its 9.43% WAPE cannot be used to claim superiority over the fleet model’s 32.7% mean horizon WAPE.</w:t>
      </w:r>
    </w:p>
    <w:p>
      <w:pPr>
        <w:spacing w:before="0" w:after="120" w:line="270" w:lineRule="auto"/>
        <w:widowControl/>
      </w:pPr>
      <w:r>
        <w:rPr>
          <w:rFonts w:ascii="Arial" w:hAnsi="Arial"/>
          <w:sz w:val="19"/>
          <w:color w:val="142D45"/>
        </w:rPr>
        <w:t xml:space="preserve">The forecast is anchored to the historical data endpoint, not today. It includes no live weather, events, driver availability, or unmet requests. Zero pickup records are interpreted as zero observed demand, which would be inappropriate during an ingestion outage. Data completeness monitoring should precede operational use.</w:t>
      </w:r>
    </w:p>
    <w:p>
      <w:pPr>
        <w:spacing w:before="90" w:after="70" w:line="270" w:lineRule="auto"/>
        <w:keepNext/>
        <w:outlineLvl w:val="1"/>
        <w:widowControl/>
      </w:pPr>
      <w:r>
        <w:rPr>
          <w:rFonts w:ascii="Arial" w:hAnsi="Arial"/>
          <w:sz w:val="23"/>
          <w:color w:val="087E8B"/>
          <w:b/>
        </w:rPr>
        <w:t xml:space="preserve">Verified application behavior</w:t>
      </w:r>
    </w:p>
    <w:p>
      <w:pPr>
        <w:spacing w:before="0" w:after="120" w:line="270" w:lineRule="auto"/>
        <w:widowControl/>
      </w:pPr>
      <w:r>
        <w:rPr>
          <w:rFonts w:ascii="Arial" w:hAnsi="Arial"/>
          <w:sz w:val="19"/>
          <w:color w:val="142D45"/>
        </w:rPr>
        <w:t xml:space="preserve">Streamlit page checks completed successfully for the assistant and demand modules after dependency repair. The demand page rendered four metrics and accepted a two-week history selection. These checks establish rendering and basic interaction, not comprehensive prediction accuracy or load-tested service capacity. [S10]</w:t>
      </w:r>
    </w:p>
    <w:p>
      <w:r>
        <w:br w:type="page"/>
      </w:r>
    </w:p>
    <w:p>
      <w:pPr>
        <w:spacing w:before="0" w:after="200" w:line="270" w:lineRule="auto"/>
        <w:keepNext/>
        <w:outlineLvl w:val="0"/>
        <w:widowControl/>
      </w:pPr>
      <w:r>
        <w:rPr>
          <w:rFonts w:ascii="Arial" w:hAnsi="Arial"/>
          <w:sz w:val="38"/>
          <w:color w:val="142D45"/>
          <w:b/>
        </w:rPr>
        <w:t xml:space="preserve">10 / Spatial hotspots &amp; OD clustering</w:t>
      </w:r>
    </w:p>
    <w:p>
      <w:pPr>
        <w:spacing w:before="0" w:after="120" w:line="270" w:lineRule="auto"/>
        <w:widowControl/>
      </w:pPr>
      <w:r>
        <w:rPr>
          <w:rFonts w:ascii="Arial" w:hAnsi="Arial"/>
          <w:sz w:val="19"/>
          <w:color w:val="142D45"/>
        </w:rPr>
        <w:t xml:space="preserve">Spatial analysis builds per-zone behavioral descriptors from origin and destination activity, route averages, airport/cross-borough proportions, and five dayparts. StandardScaler normalizes selected inputs before K-Means. The pipeline also fits agglomerative clustering for comparison and exports zone profiles and origin-destination corridor summaries. Saved outputs contain 265 zone rows and 29,174 daypart corridor records. [S6]</w:t>
      </w:r>
    </w:p>
    <w:tbl>
      <w:tblPr>
        <w:tblW w:w="9900" w:type="dxa"/>
        <w:tblLayout w:type="fixed"/>
        <w:tblCellMar>
          <w:top w:w="90" w:type="dxa"/>
          <w:left w:w="130" w:type="dxa"/>
          <w:bottom w:w="90" w:type="dxa"/>
          <w:right w:w="130" w:type="dxa"/>
        </w:tblCellMar>
        <w:tblBorders>
          <w:insideH w:val="single" w:sz="3" w:color="CFDCE3"/>
        </w:tblBorders>
      </w:tblPr>
      <w:tblGrid>
        <w:gridCol w:w="3900"/>
        <w:gridCol w:w="6000"/>
      </w:tblGrid>
      <w:tr>
        <w:trPr>
          <w:cantSplit/>
          <w:tblHeader/>
        </w:trPr>
        <w:tc>
          <w:tcPr>
            <w:tcW w:w="3900" w:type="dxa"/>
            <w:shd w:fill="EAF3F6"/>
          </w:tcPr>
          <w:p>
            <w:pPr>
              <w:spacing w:before="0" w:after="0" w:line="240" w:lineRule="auto"/>
              <w:widowControl/>
            </w:pPr>
            <w:r>
              <w:rPr>
                <w:rFonts w:ascii="Arial" w:hAnsi="Arial"/>
                <w:sz w:val="17"/>
                <w:color w:val="142D45"/>
              </w:rPr>
              <w:t xml:space="preserve">Daypart</w:t>
            </w:r>
          </w:p>
        </w:tc>
        <w:tc>
          <w:tcPr>
            <w:tcW w:w="6000" w:type="dxa"/>
            <w:shd w:fill="EAF3F6"/>
          </w:tcPr>
          <w:p>
            <w:pPr>
              <w:spacing w:before="0" w:after="0" w:line="240" w:lineRule="auto"/>
              <w:widowControl/>
            </w:pPr>
            <w:r>
              <w:rPr>
                <w:rFonts w:ascii="Arial" w:hAnsi="Arial"/>
                <w:sz w:val="17"/>
                <w:color w:val="142D45"/>
              </w:rPr>
              <w:t xml:space="preserve">Hours</w:t>
            </w:r>
          </w:p>
        </w:tc>
      </w:tr>
      <w:tr>
        <w:trPr>
          <w:cantSplit/>
        </w:trPr>
        <w:tc>
          <w:tcPr>
            <w:tcW w:w="3900" w:type="dxa"/>
          </w:tcPr>
          <w:p>
            <w:pPr>
              <w:spacing w:before="0" w:after="0" w:line="240" w:lineRule="auto"/>
              <w:widowControl/>
            </w:pPr>
            <w:r>
              <w:rPr>
                <w:rFonts w:ascii="Arial" w:hAnsi="Arial"/>
                <w:sz w:val="17"/>
                <w:color w:val="142D45"/>
              </w:rPr>
              <w:t xml:space="preserve">Morning rush</w:t>
            </w:r>
          </w:p>
        </w:tc>
        <w:tc>
          <w:tcPr>
            <w:tcW w:w="6000" w:type="dxa"/>
          </w:tcPr>
          <w:p>
            <w:pPr>
              <w:spacing w:before="0" w:after="0" w:line="240" w:lineRule="auto"/>
              <w:widowControl/>
            </w:pPr>
            <w:r>
              <w:rPr>
                <w:rFonts w:ascii="Arial" w:hAnsi="Arial"/>
                <w:sz w:val="17"/>
                <w:color w:val="142D45"/>
              </w:rPr>
              <w:t xml:space="preserve">06:00–09:59</w:t>
            </w:r>
          </w:p>
        </w:tc>
      </w:tr>
      <w:tr>
        <w:trPr>
          <w:cantSplit/>
        </w:trPr>
        <w:tc>
          <w:tcPr>
            <w:tcW w:w="3900" w:type="dxa"/>
          </w:tcPr>
          <w:p>
            <w:pPr>
              <w:spacing w:before="0" w:after="0" w:line="240" w:lineRule="auto"/>
              <w:widowControl/>
            </w:pPr>
            <w:r>
              <w:rPr>
                <w:rFonts w:ascii="Arial" w:hAnsi="Arial"/>
                <w:sz w:val="17"/>
                <w:color w:val="142D45"/>
              </w:rPr>
              <w:t xml:space="preserve">Midday</w:t>
            </w:r>
          </w:p>
        </w:tc>
        <w:tc>
          <w:tcPr>
            <w:tcW w:w="6000" w:type="dxa"/>
          </w:tcPr>
          <w:p>
            <w:pPr>
              <w:spacing w:before="0" w:after="0" w:line="240" w:lineRule="auto"/>
              <w:widowControl/>
            </w:pPr>
            <w:r>
              <w:rPr>
                <w:rFonts w:ascii="Arial" w:hAnsi="Arial"/>
                <w:sz w:val="17"/>
                <w:color w:val="142D45"/>
              </w:rPr>
              <w:t xml:space="preserve">10:00–15:59</w:t>
            </w:r>
          </w:p>
        </w:tc>
      </w:tr>
      <w:tr>
        <w:trPr>
          <w:cantSplit/>
        </w:trPr>
        <w:tc>
          <w:tcPr>
            <w:tcW w:w="3900" w:type="dxa"/>
          </w:tcPr>
          <w:p>
            <w:pPr>
              <w:spacing w:before="0" w:after="0" w:line="240" w:lineRule="auto"/>
              <w:widowControl/>
            </w:pPr>
            <w:r>
              <w:rPr>
                <w:rFonts w:ascii="Arial" w:hAnsi="Arial"/>
                <w:sz w:val="17"/>
                <w:color w:val="142D45"/>
              </w:rPr>
              <w:t xml:space="preserve">Evening rush</w:t>
            </w:r>
          </w:p>
        </w:tc>
        <w:tc>
          <w:tcPr>
            <w:tcW w:w="6000" w:type="dxa"/>
          </w:tcPr>
          <w:p>
            <w:pPr>
              <w:spacing w:before="0" w:after="0" w:line="240" w:lineRule="auto"/>
              <w:widowControl/>
            </w:pPr>
            <w:r>
              <w:rPr>
                <w:rFonts w:ascii="Arial" w:hAnsi="Arial"/>
                <w:sz w:val="17"/>
                <w:color w:val="142D45"/>
              </w:rPr>
              <w:t xml:space="preserve">16:00–19:59</w:t>
            </w:r>
          </w:p>
        </w:tc>
      </w:tr>
      <w:tr>
        <w:trPr>
          <w:cantSplit/>
        </w:trPr>
        <w:tc>
          <w:tcPr>
            <w:tcW w:w="3900" w:type="dxa"/>
          </w:tcPr>
          <w:p>
            <w:pPr>
              <w:spacing w:before="0" w:after="0" w:line="240" w:lineRule="auto"/>
              <w:widowControl/>
            </w:pPr>
            <w:r>
              <w:rPr>
                <w:rFonts w:ascii="Arial" w:hAnsi="Arial"/>
                <w:sz w:val="17"/>
                <w:color w:val="142D45"/>
              </w:rPr>
              <w:t xml:space="preserve">Late night</w:t>
            </w:r>
          </w:p>
        </w:tc>
        <w:tc>
          <w:tcPr>
            <w:tcW w:w="6000" w:type="dxa"/>
          </w:tcPr>
          <w:p>
            <w:pPr>
              <w:spacing w:before="0" w:after="0" w:line="240" w:lineRule="auto"/>
              <w:widowControl/>
            </w:pPr>
            <w:r>
              <w:rPr>
                <w:rFonts w:ascii="Arial" w:hAnsi="Arial"/>
                <w:sz w:val="17"/>
                <w:color w:val="142D45"/>
              </w:rPr>
              <w:t xml:space="preserve">20:00–01:59</w:t>
            </w:r>
          </w:p>
        </w:tc>
      </w:tr>
      <w:tr>
        <w:trPr>
          <w:cantSplit/>
        </w:trPr>
        <w:tc>
          <w:tcPr>
            <w:tcW w:w="3900" w:type="dxa"/>
          </w:tcPr>
          <w:p>
            <w:pPr>
              <w:spacing w:before="0" w:after="0" w:line="240" w:lineRule="auto"/>
              <w:widowControl/>
            </w:pPr>
            <w:r>
              <w:rPr>
                <w:rFonts w:ascii="Arial" w:hAnsi="Arial"/>
                <w:sz w:val="17"/>
                <w:color w:val="142D45"/>
              </w:rPr>
              <w:t xml:space="preserve">Overnight</w:t>
            </w:r>
          </w:p>
        </w:tc>
        <w:tc>
          <w:tcPr>
            <w:tcW w:w="6000" w:type="dxa"/>
          </w:tcPr>
          <w:p>
            <w:pPr>
              <w:spacing w:before="0" w:after="0" w:line="240" w:lineRule="auto"/>
              <w:widowControl/>
            </w:pPr>
            <w:r>
              <w:rPr>
                <w:rFonts w:ascii="Arial" w:hAnsi="Arial"/>
                <w:sz w:val="17"/>
                <w:color w:val="142D45"/>
              </w:rPr>
              <w:t xml:space="preserve">02:00–05:59</w:t>
            </w:r>
          </w:p>
        </w:tc>
      </w:tr>
    </w:tbl>
    <w:p>
      <w:pPr>
        <w:spacing w:before="0" w:after="0" w:line="200" w:lineRule="exact"/>
      </w:pPr>
    </w:p>
    <w:tbl>
      <w:tblPr>
        <w:tblW w:w="9900" w:type="dxa"/>
        <w:tblLayout w:type="fixed"/>
        <w:tblCellMar>
          <w:top w:w="90" w:type="dxa"/>
          <w:left w:w="130" w:type="dxa"/>
          <w:bottom w:w="90" w:type="dxa"/>
          <w:right w:w="130" w:type="dxa"/>
        </w:tblCellMar>
        <w:tblBorders>
          <w:insideH w:val="single" w:sz="3" w:color="CFDCE3"/>
        </w:tblBorders>
      </w:tblPr>
      <w:tblGrid>
        <w:gridCol w:w="4440"/>
        <w:gridCol w:w="1820"/>
        <w:gridCol w:w="3640"/>
      </w:tblGrid>
      <w:tr>
        <w:trPr>
          <w:cantSplit/>
          <w:tblHeader/>
        </w:trPr>
        <w:tc>
          <w:tcPr>
            <w:tcW w:w="4440" w:type="dxa"/>
            <w:shd w:fill="EAF3F6"/>
          </w:tcPr>
          <w:p>
            <w:pPr>
              <w:spacing w:before="0" w:after="0" w:line="240" w:lineRule="auto"/>
              <w:widowControl/>
            </w:pPr>
            <w:r>
              <w:rPr>
                <w:rFonts w:ascii="Arial" w:hAnsi="Arial"/>
                <w:sz w:val="17"/>
                <w:color w:val="142D45"/>
              </w:rPr>
              <w:t xml:space="preserve">Diagnostic</w:t>
            </w:r>
          </w:p>
        </w:tc>
        <w:tc>
          <w:tcPr>
            <w:tcW w:w="1820" w:type="dxa"/>
            <w:shd w:fill="EAF3F6"/>
          </w:tcPr>
          <w:p>
            <w:pPr>
              <w:spacing w:before="0" w:after="0" w:line="240" w:lineRule="auto"/>
              <w:widowControl/>
            </w:pPr>
            <w:r>
              <w:rPr>
                <w:rFonts w:ascii="Arial" w:hAnsi="Arial"/>
                <w:sz w:val="17"/>
                <w:color w:val="142D45"/>
              </w:rPr>
              <w:t xml:space="preserve">Saved value</w:t>
            </w:r>
          </w:p>
        </w:tc>
        <w:tc>
          <w:tcPr>
            <w:tcW w:w="3640" w:type="dxa"/>
            <w:shd w:fill="EAF3F6"/>
          </w:tcPr>
          <w:p>
            <w:pPr>
              <w:spacing w:before="0" w:after="0" w:line="240" w:lineRule="auto"/>
              <w:widowControl/>
            </w:pPr>
            <w:r>
              <w:rPr>
                <w:rFonts w:ascii="Arial" w:hAnsi="Arial"/>
                <w:sz w:val="17"/>
                <w:color w:val="142D45"/>
              </w:rPr>
              <w:t xml:space="preserve">Interpretation</w:t>
            </w:r>
          </w:p>
        </w:tc>
      </w:tr>
      <w:tr>
        <w:trPr>
          <w:cantSplit/>
        </w:trPr>
        <w:tc>
          <w:tcPr>
            <w:tcW w:w="4440" w:type="dxa"/>
          </w:tcPr>
          <w:p>
            <w:pPr>
              <w:spacing w:before="0" w:after="0" w:line="240" w:lineRule="auto"/>
              <w:widowControl/>
            </w:pPr>
            <w:r>
              <w:rPr>
                <w:rFonts w:ascii="Arial" w:hAnsi="Arial"/>
                <w:sz w:val="17"/>
                <w:color w:val="142D45"/>
              </w:rPr>
              <w:t xml:space="preserve">Selected K-Means k</w:t>
            </w:r>
          </w:p>
        </w:tc>
        <w:tc>
          <w:tcPr>
            <w:tcW w:w="1820" w:type="dxa"/>
          </w:tcPr>
          <w:p>
            <w:pPr>
              <w:spacing w:before="0" w:after="0" w:line="240" w:lineRule="auto"/>
              <w:widowControl/>
            </w:pPr>
            <w:r>
              <w:rPr>
                <w:rFonts w:ascii="Arial" w:hAnsi="Arial"/>
                <w:sz w:val="17"/>
                <w:color w:val="142D45"/>
              </w:rPr>
              <w:t xml:space="preserve">5</w:t>
            </w:r>
          </w:p>
        </w:tc>
        <w:tc>
          <w:tcPr>
            <w:tcW w:w="3640" w:type="dxa"/>
          </w:tcPr>
          <w:p>
            <w:pPr>
              <w:spacing w:before="0" w:after="0" w:line="240" w:lineRule="auto"/>
              <w:widowControl/>
            </w:pPr>
            <w:r>
              <w:rPr>
                <w:rFonts w:ascii="Arial" w:hAnsi="Arial"/>
                <w:sz w:val="17"/>
                <w:color w:val="142D45"/>
              </w:rPr>
              <w:t xml:space="preserve">Operational taxonomy choice</w:t>
            </w:r>
          </w:p>
        </w:tc>
      </w:tr>
      <w:tr>
        <w:trPr>
          <w:cantSplit/>
        </w:trPr>
        <w:tc>
          <w:tcPr>
            <w:tcW w:w="4440" w:type="dxa"/>
          </w:tcPr>
          <w:p>
            <w:pPr>
              <w:spacing w:before="0" w:after="0" w:line="240" w:lineRule="auto"/>
              <w:widowControl/>
            </w:pPr>
            <w:r>
              <w:rPr>
                <w:rFonts w:ascii="Arial" w:hAnsi="Arial"/>
                <w:sz w:val="17"/>
                <w:color w:val="142D45"/>
              </w:rPr>
              <w:t xml:space="preserve">Silhouette</w:t>
            </w:r>
          </w:p>
        </w:tc>
        <w:tc>
          <w:tcPr>
            <w:tcW w:w="1820" w:type="dxa"/>
          </w:tcPr>
          <w:p>
            <w:pPr>
              <w:spacing w:before="0" w:after="0" w:line="240" w:lineRule="auto"/>
              <w:widowControl/>
            </w:pPr>
            <w:r>
              <w:rPr>
                <w:rFonts w:ascii="Arial" w:hAnsi="Arial"/>
                <w:sz w:val="17"/>
                <w:color w:val="142D45"/>
              </w:rPr>
              <w:t xml:space="preserve">0.2819</w:t>
            </w:r>
          </w:p>
        </w:tc>
        <w:tc>
          <w:tcPr>
            <w:tcW w:w="3640" w:type="dxa"/>
          </w:tcPr>
          <w:p>
            <w:pPr>
              <w:spacing w:before="0" w:after="0" w:line="240" w:lineRule="auto"/>
              <w:widowControl/>
            </w:pPr>
            <w:r>
              <w:rPr>
                <w:rFonts w:ascii="Arial" w:hAnsi="Arial"/>
                <w:sz w:val="17"/>
                <w:color w:val="142D45"/>
              </w:rPr>
              <w:t xml:space="preserve">Higher is better; moderate separation</w:t>
            </w:r>
          </w:p>
        </w:tc>
      </w:tr>
      <w:tr>
        <w:trPr>
          <w:cantSplit/>
        </w:trPr>
        <w:tc>
          <w:tcPr>
            <w:tcW w:w="4440" w:type="dxa"/>
          </w:tcPr>
          <w:p>
            <w:pPr>
              <w:spacing w:before="0" w:after="0" w:line="240" w:lineRule="auto"/>
              <w:widowControl/>
            </w:pPr>
            <w:r>
              <w:rPr>
                <w:rFonts w:ascii="Arial" w:hAnsi="Arial"/>
                <w:sz w:val="17"/>
                <w:color w:val="142D45"/>
              </w:rPr>
              <w:t xml:space="preserve">Davies–Bouldin</w:t>
            </w:r>
          </w:p>
        </w:tc>
        <w:tc>
          <w:tcPr>
            <w:tcW w:w="1820" w:type="dxa"/>
          </w:tcPr>
          <w:p>
            <w:pPr>
              <w:spacing w:before="0" w:after="0" w:line="240" w:lineRule="auto"/>
              <w:widowControl/>
            </w:pPr>
            <w:r>
              <w:rPr>
                <w:rFonts w:ascii="Arial" w:hAnsi="Arial"/>
                <w:sz w:val="17"/>
                <w:color w:val="142D45"/>
              </w:rPr>
              <w:t xml:space="preserve">1.2735</w:t>
            </w:r>
          </w:p>
        </w:tc>
        <w:tc>
          <w:tcPr>
            <w:tcW w:w="3640" w:type="dxa"/>
          </w:tcPr>
          <w:p>
            <w:pPr>
              <w:spacing w:before="0" w:after="0" w:line="240" w:lineRule="auto"/>
              <w:widowControl/>
            </w:pPr>
            <w:r>
              <w:rPr>
                <w:rFonts w:ascii="Arial" w:hAnsi="Arial"/>
                <w:sz w:val="17"/>
                <w:color w:val="142D45"/>
              </w:rPr>
              <w:t xml:space="preserve">Lower is better</w:t>
            </w:r>
          </w:p>
        </w:tc>
      </w:tr>
      <w:tr>
        <w:trPr>
          <w:cantSplit/>
        </w:trPr>
        <w:tc>
          <w:tcPr>
            <w:tcW w:w="4440" w:type="dxa"/>
          </w:tcPr>
          <w:p>
            <w:pPr>
              <w:spacing w:before="0" w:after="0" w:line="240" w:lineRule="auto"/>
              <w:widowControl/>
            </w:pPr>
            <w:r>
              <w:rPr>
                <w:rFonts w:ascii="Arial" w:hAnsi="Arial"/>
                <w:sz w:val="17"/>
                <w:color w:val="142D45"/>
              </w:rPr>
              <w:t xml:space="preserve">Calinski–Harabasz</w:t>
            </w:r>
          </w:p>
        </w:tc>
        <w:tc>
          <w:tcPr>
            <w:tcW w:w="1820" w:type="dxa"/>
          </w:tcPr>
          <w:p>
            <w:pPr>
              <w:spacing w:before="0" w:after="0" w:line="240" w:lineRule="auto"/>
              <w:widowControl/>
            </w:pPr>
            <w:r>
              <w:rPr>
                <w:rFonts w:ascii="Arial" w:hAnsi="Arial"/>
                <w:sz w:val="17"/>
                <w:color w:val="142D45"/>
              </w:rPr>
              <w:t xml:space="preserve">73.2096</w:t>
            </w:r>
          </w:p>
        </w:tc>
        <w:tc>
          <w:tcPr>
            <w:tcW w:w="3640" w:type="dxa"/>
          </w:tcPr>
          <w:p>
            <w:pPr>
              <w:spacing w:before="0" w:after="0" w:line="240" w:lineRule="auto"/>
              <w:widowControl/>
            </w:pPr>
            <w:r>
              <w:rPr>
                <w:rFonts w:ascii="Arial" w:hAnsi="Arial"/>
                <w:sz w:val="17"/>
                <w:color w:val="142D45"/>
              </w:rPr>
              <w:t xml:space="preserve">Higher is better</w:t>
            </w:r>
          </w:p>
        </w:tc>
      </w:tr>
      <w:tr>
        <w:trPr>
          <w:cantSplit/>
        </w:trPr>
        <w:tc>
          <w:tcPr>
            <w:tcW w:w="4440" w:type="dxa"/>
          </w:tcPr>
          <w:p>
            <w:pPr>
              <w:spacing w:before="0" w:after="0" w:line="240" w:lineRule="auto"/>
              <w:widowControl/>
            </w:pPr>
            <w:r>
              <w:rPr>
                <w:rFonts w:ascii="Arial" w:hAnsi="Arial"/>
                <w:sz w:val="17"/>
                <w:color w:val="142D45"/>
              </w:rPr>
              <w:t xml:space="preserve">Agglomerative silhouette, k=5</w:t>
            </w:r>
          </w:p>
        </w:tc>
        <w:tc>
          <w:tcPr>
            <w:tcW w:w="1820" w:type="dxa"/>
          </w:tcPr>
          <w:p>
            <w:pPr>
              <w:spacing w:before="0" w:after="0" w:line="240" w:lineRule="auto"/>
              <w:widowControl/>
            </w:pPr>
            <w:r>
              <w:rPr>
                <w:rFonts w:ascii="Arial" w:hAnsi="Arial"/>
                <w:sz w:val="17"/>
                <w:color w:val="142D45"/>
              </w:rPr>
              <w:t xml:space="preserve">0.2399</w:t>
            </w:r>
          </w:p>
        </w:tc>
        <w:tc>
          <w:tcPr>
            <w:tcW w:w="3640" w:type="dxa"/>
          </w:tcPr>
          <w:p>
            <w:pPr>
              <w:spacing w:before="0" w:after="0" w:line="240" w:lineRule="auto"/>
              <w:widowControl/>
            </w:pPr>
            <w:r>
              <w:rPr>
                <w:rFonts w:ascii="Arial" w:hAnsi="Arial"/>
                <w:sz w:val="17"/>
                <w:color w:val="142D45"/>
              </w:rPr>
              <w:t xml:space="preserve">Below K-Means at the same k</w:t>
            </w:r>
          </w:p>
        </w:tc>
      </w:tr>
      <w:tr>
        <w:trPr>
          <w:cantSplit/>
        </w:trPr>
        <w:tc>
          <w:tcPr>
            <w:tcW w:w="4440" w:type="dxa"/>
          </w:tcPr>
          <w:p>
            <w:pPr>
              <w:spacing w:before="0" w:after="0" w:line="240" w:lineRule="auto"/>
              <w:widowControl/>
            </w:pPr>
            <w:r>
              <w:rPr>
                <w:rFonts w:ascii="Arial" w:hAnsi="Arial"/>
                <w:sz w:val="17"/>
                <w:color w:val="142D45"/>
              </w:rPr>
              <w:t xml:space="preserve">Best silhouette in k=2…8 search</w:t>
            </w:r>
          </w:p>
        </w:tc>
        <w:tc>
          <w:tcPr>
            <w:tcW w:w="1820" w:type="dxa"/>
          </w:tcPr>
          <w:p>
            <w:pPr>
              <w:spacing w:before="0" w:after="0" w:line="240" w:lineRule="auto"/>
              <w:widowControl/>
            </w:pPr>
            <w:r>
              <w:rPr>
                <w:rFonts w:ascii="Arial" w:hAnsi="Arial"/>
                <w:sz w:val="17"/>
                <w:color w:val="142D45"/>
              </w:rPr>
              <w:t xml:space="preserve">0.3319 at k=3</w:t>
            </w:r>
          </w:p>
        </w:tc>
        <w:tc>
          <w:tcPr>
            <w:tcW w:w="3640" w:type="dxa"/>
          </w:tcPr>
          <w:p>
            <w:pPr>
              <w:spacing w:before="0" w:after="0" w:line="240" w:lineRule="auto"/>
              <w:widowControl/>
            </w:pPr>
            <w:r>
              <w:rPr>
                <w:rFonts w:ascii="Arial" w:hAnsi="Arial"/>
                <w:sz w:val="17"/>
                <w:color w:val="142D45"/>
              </w:rPr>
              <w:t xml:space="preserve">Five is not the silhouette optimum</w:t>
            </w:r>
          </w:p>
        </w:tc>
      </w:tr>
    </w:tbl>
    <w:p>
      <w:pPr>
        <w:spacing w:before="0" w:after="0" w:line="200" w:lineRule="exact"/>
      </w:pPr>
    </w:p>
    <w:p>
      <w:pPr>
        <w:spacing w:before="90" w:after="70" w:line="270" w:lineRule="auto"/>
        <w:keepNext/>
        <w:outlineLvl w:val="1"/>
        <w:widowControl/>
      </w:pPr>
      <w:r>
        <w:rPr>
          <w:rFonts w:ascii="Arial" w:hAnsi="Arial"/>
          <w:sz w:val="23"/>
          <w:color w:val="087E8B"/>
          <w:b/>
        </w:rPr>
        <w:t xml:space="preserve">Interpretation and deployment role</w:t>
      </w:r>
    </w:p>
    <w:p>
      <w:pPr>
        <w:spacing w:before="0" w:after="120" w:line="270" w:lineRule="auto"/>
        <w:widowControl/>
      </w:pPr>
      <w:r>
        <w:rPr>
          <w:rFonts w:ascii="Arial" w:hAnsi="Arial"/>
          <w:sz w:val="19"/>
          <w:color w:val="142D45"/>
        </w:rPr>
        <w:t xml:space="preserve">The five labels describe commercial activity, nightlife, airport travel, residential/commuter behavior, and outer-borough low-density areas. These labels are assigned after clustering through feature-based rules, rather than learned from ground-truth zone classes. They are useful summaries for staging and service planning, not fixed identities for every trip in a zone.</w:t>
      </w:r>
    </w:p>
    <w:p>
      <w:pPr>
        <w:spacing w:before="0" w:after="120" w:line="270" w:lineRule="auto"/>
        <w:widowControl/>
      </w:pPr>
      <w:r>
        <w:rPr>
          <w:rFonts w:ascii="Arial" w:hAnsi="Arial"/>
          <w:sz w:val="19"/>
          <w:color w:val="142D45"/>
        </w:rPr>
        <w:t xml:space="preserve">The pipeline samples cleaned rows from monthly CSV chunks; therefore the corridor counts and cluster inputs should be treated as sample-derived activity unless explicitly reaggregated on the full dataset. Uniform chunk sampling does not guarantee proportional representation across months. The five-cluster choice trades stronger numerical separation at k=3 for finer operational categories.</w:t>
      </w:r>
    </w:p>
    <w:p>
      <w:pPr>
        <w:spacing w:before="0" w:after="120" w:line="270" w:lineRule="auto"/>
        <w:widowControl/>
      </w:pPr>
      <w:r>
        <w:rPr>
          <w:rFonts w:ascii="Arial" w:hAnsi="Arial"/>
          <w:sz w:val="19"/>
          <w:color w:val="142D45"/>
        </w:rPr>
        <w:t xml:space="preserve">Before automating dispatch by cluster, test month-to-month label stability, sparse-zone sensitivity, and performance of actual staging decisions. Use the profiles alongside real-time supply and travel constraints rather than as an optimizer.</w:t>
      </w:r>
    </w:p>
    <w:p>
      <w:r>
        <w:br w:type="page"/>
      </w:r>
    </w:p>
    <w:p>
      <w:pPr>
        <w:spacing w:before="0" w:after="200" w:line="270" w:lineRule="auto"/>
        <w:keepNext/>
        <w:outlineLvl w:val="0"/>
        <w:widowControl/>
      </w:pPr>
      <w:r>
        <w:rPr>
          <w:rFonts w:ascii="Arial" w:hAnsi="Arial"/>
          <w:sz w:val="38"/>
          <w:color w:val="142D45"/>
          <w:b/>
        </w:rPr>
        <w:t xml:space="preserve">11 / AI assistant &amp; application delivery</w:t>
      </w:r>
    </w:p>
    <w:p>
      <w:pPr>
        <w:spacing w:before="90" w:after="70" w:line="270" w:lineRule="auto"/>
        <w:keepNext/>
        <w:outlineLvl w:val="1"/>
        <w:widowControl/>
      </w:pPr>
      <w:r>
        <w:rPr>
          <w:rFonts w:ascii="Arial" w:hAnsi="Arial"/>
          <w:sz w:val="23"/>
          <w:color w:val="087E8B"/>
          <w:b/>
        </w:rPr>
        <w:t xml:space="preserve">Structured analytical workflow</w:t>
      </w:r>
    </w:p>
    <w:p>
      <w:pPr>
        <w:spacing w:before="0" w:after="120" w:line="270" w:lineRule="auto"/>
        <w:widowControl/>
      </w:pPr>
      <w:r>
        <w:rPr>
          <w:rFonts w:ascii="Arial" w:hAnsi="Arial"/>
          <w:sz w:val="19"/>
          <w:color w:val="142D45"/>
        </w:rPr>
        <w:t xml:space="preserve">The AI Mobility Assistant maps a question into a typed QueryIntent using the LLM client or local parsing logic. SchemaRegistry supplies valid fields and dataset-date semantics; entity resolution handles place-name ambiguity. IntentCompiler generates SQL, SQLGlot validates its structure, and DuckDB executes the approved query over the enriched Parquet view. Response and chart builders format the result, and an audit logger records interactions. [S7]</w:t>
      </w:r>
    </w:p>
    <w:tbl>
      <w:tblPr>
        <w:tblW w:w="9900" w:type="dxa"/>
        <w:tblLayout w:type="fixed"/>
        <w:tblCellMar>
          <w:top w:w="90" w:type="dxa"/>
          <w:left w:w="130" w:type="dxa"/>
          <w:bottom w:w="90" w:type="dxa"/>
          <w:right w:w="130" w:type="dxa"/>
        </w:tblCellMar>
        <w:tblBorders>
          <w:insideH w:val="single" w:sz="3" w:color="CFDCE3"/>
        </w:tblBorders>
      </w:tblPr>
      <w:tblGrid>
        <w:gridCol w:w="3400"/>
        <w:gridCol w:w="6500"/>
      </w:tblGrid>
      <w:tr>
        <w:trPr>
          <w:cantSplit/>
          <w:tblHeader/>
        </w:trPr>
        <w:tc>
          <w:tcPr>
            <w:tcW w:w="3400" w:type="dxa"/>
            <w:shd w:fill="EAF3F6"/>
          </w:tcPr>
          <w:p>
            <w:pPr>
              <w:spacing w:before="0" w:after="0" w:line="240" w:lineRule="auto"/>
              <w:widowControl/>
            </w:pPr>
            <w:r>
              <w:rPr>
                <w:rFonts w:ascii="Arial" w:hAnsi="Arial"/>
                <w:sz w:val="17"/>
                <w:color w:val="142D45"/>
              </w:rPr>
              <w:t xml:space="preserve">Layer</w:t>
            </w:r>
          </w:p>
        </w:tc>
        <w:tc>
          <w:tcPr>
            <w:tcW w:w="6500" w:type="dxa"/>
            <w:shd w:fill="EAF3F6"/>
          </w:tcPr>
          <w:p>
            <w:pPr>
              <w:spacing w:before="0" w:after="0" w:line="240" w:lineRule="auto"/>
              <w:widowControl/>
            </w:pPr>
            <w:r>
              <w:rPr>
                <w:rFonts w:ascii="Arial" w:hAnsi="Arial"/>
                <w:sz w:val="17"/>
                <w:color w:val="142D45"/>
              </w:rPr>
              <w:t xml:space="preserve">Responsibility</w:t>
            </w:r>
          </w:p>
        </w:tc>
      </w:tr>
      <w:tr>
        <w:trPr>
          <w:cantSplit/>
        </w:trPr>
        <w:tc>
          <w:tcPr>
            <w:tcW w:w="3400" w:type="dxa"/>
          </w:tcPr>
          <w:p>
            <w:pPr>
              <w:spacing w:before="0" w:after="0" w:line="240" w:lineRule="auto"/>
              <w:widowControl/>
            </w:pPr>
            <w:r>
              <w:rPr>
                <w:rFonts w:ascii="Arial" w:hAnsi="Arial"/>
                <w:sz w:val="17"/>
                <w:color w:val="142D45"/>
              </w:rPr>
              <w:t xml:space="preserve">Pydantic intent schema</w:t>
            </w:r>
          </w:p>
        </w:tc>
        <w:tc>
          <w:tcPr>
            <w:tcW w:w="6500" w:type="dxa"/>
          </w:tcPr>
          <w:p>
            <w:pPr>
              <w:spacing w:before="0" w:after="0" w:line="240" w:lineRule="auto"/>
              <w:widowControl/>
            </w:pPr>
            <w:r>
              <w:rPr>
                <w:rFonts w:ascii="Arial" w:hAnsi="Arial"/>
                <w:sz w:val="17"/>
                <w:color w:val="142D45"/>
              </w:rPr>
              <w:t xml:space="preserve">Validate structured entities, filters, aggregates and ordering</w:t>
            </w:r>
          </w:p>
        </w:tc>
      </w:tr>
      <w:tr>
        <w:trPr>
          <w:cantSplit/>
        </w:trPr>
        <w:tc>
          <w:tcPr>
            <w:tcW w:w="3400" w:type="dxa"/>
          </w:tcPr>
          <w:p>
            <w:pPr>
              <w:spacing w:before="0" w:after="0" w:line="240" w:lineRule="auto"/>
              <w:widowControl/>
            </w:pPr>
            <w:r>
              <w:rPr>
                <w:rFonts w:ascii="Arial" w:hAnsi="Arial"/>
                <w:sz w:val="17"/>
                <w:color w:val="142D45"/>
              </w:rPr>
              <w:t xml:space="preserve">Schema / entity resolution</w:t>
            </w:r>
          </w:p>
        </w:tc>
        <w:tc>
          <w:tcPr>
            <w:tcW w:w="6500" w:type="dxa"/>
          </w:tcPr>
          <w:p>
            <w:pPr>
              <w:spacing w:before="0" w:after="0" w:line="240" w:lineRule="auto"/>
              <w:widowControl/>
            </w:pPr>
            <w:r>
              <w:rPr>
                <w:rFonts w:ascii="Arial" w:hAnsi="Arial"/>
                <w:sz w:val="17"/>
                <w:color w:val="142D45"/>
              </w:rPr>
              <w:t xml:space="preserve">Resolve column names, zone aliases and date expressions</w:t>
            </w:r>
          </w:p>
        </w:tc>
      </w:tr>
      <w:tr>
        <w:trPr>
          <w:cantSplit/>
        </w:trPr>
        <w:tc>
          <w:tcPr>
            <w:tcW w:w="3400" w:type="dxa"/>
          </w:tcPr>
          <w:p>
            <w:pPr>
              <w:spacing w:before="0" w:after="0" w:line="240" w:lineRule="auto"/>
              <w:widowControl/>
            </w:pPr>
            <w:r>
              <w:rPr>
                <w:rFonts w:ascii="Arial" w:hAnsi="Arial"/>
                <w:sz w:val="17"/>
                <w:color w:val="142D45"/>
              </w:rPr>
              <w:t xml:space="preserve">SQL compiler + validator</w:t>
            </w:r>
          </w:p>
        </w:tc>
        <w:tc>
          <w:tcPr>
            <w:tcW w:w="6500" w:type="dxa"/>
          </w:tcPr>
          <w:p>
            <w:pPr>
              <w:spacing w:before="0" w:after="0" w:line="240" w:lineRule="auto"/>
              <w:widowControl/>
            </w:pPr>
            <w:r>
              <w:rPr>
                <w:rFonts w:ascii="Arial" w:hAnsi="Arial"/>
                <w:sz w:val="17"/>
                <w:color w:val="142D45"/>
              </w:rPr>
              <w:t xml:space="preserve">Restrict generated queries to supported analytical structure</w:t>
            </w:r>
          </w:p>
        </w:tc>
      </w:tr>
      <w:tr>
        <w:trPr>
          <w:cantSplit/>
        </w:trPr>
        <w:tc>
          <w:tcPr>
            <w:tcW w:w="3400" w:type="dxa"/>
          </w:tcPr>
          <w:p>
            <w:pPr>
              <w:spacing w:before="0" w:after="0" w:line="240" w:lineRule="auto"/>
              <w:widowControl/>
            </w:pPr>
            <w:r>
              <w:rPr>
                <w:rFonts w:ascii="Arial" w:hAnsi="Arial"/>
                <w:sz w:val="17"/>
                <w:color w:val="142D45"/>
              </w:rPr>
              <w:t xml:space="preserve">DuckDB executor</w:t>
            </w:r>
          </w:p>
        </w:tc>
        <w:tc>
          <w:tcPr>
            <w:tcW w:w="6500" w:type="dxa"/>
          </w:tcPr>
          <w:p>
            <w:pPr>
              <w:spacing w:before="0" w:after="0" w:line="240" w:lineRule="auto"/>
              <w:widowControl/>
            </w:pPr>
            <w:r>
              <w:rPr>
                <w:rFonts w:ascii="Arial" w:hAnsi="Arial"/>
                <w:sz w:val="17"/>
                <w:color w:val="142D45"/>
              </w:rPr>
              <w:t xml:space="preserve">Query the registered trip view and cap returned results at 1,000 rows</w:t>
            </w:r>
          </w:p>
        </w:tc>
      </w:tr>
      <w:tr>
        <w:trPr>
          <w:cantSplit/>
        </w:trPr>
        <w:tc>
          <w:tcPr>
            <w:tcW w:w="3400" w:type="dxa"/>
          </w:tcPr>
          <w:p>
            <w:pPr>
              <w:spacing w:before="0" w:after="0" w:line="240" w:lineRule="auto"/>
              <w:widowControl/>
            </w:pPr>
            <w:r>
              <w:rPr>
                <w:rFonts w:ascii="Arial" w:hAnsi="Arial"/>
                <w:sz w:val="17"/>
                <w:color w:val="142D45"/>
              </w:rPr>
              <w:t xml:space="preserve">Response + chart + audit</w:t>
            </w:r>
          </w:p>
        </w:tc>
        <w:tc>
          <w:tcPr>
            <w:tcW w:w="6500" w:type="dxa"/>
          </w:tcPr>
          <w:p>
            <w:pPr>
              <w:spacing w:before="0" w:after="0" w:line="240" w:lineRule="auto"/>
              <w:widowControl/>
            </w:pPr>
            <w:r>
              <w:rPr>
                <w:rFonts w:ascii="Arial" w:hAnsi="Arial"/>
                <w:sz w:val="17"/>
                <w:color w:val="142D45"/>
              </w:rPr>
              <w:t xml:space="preserve">Present results and retain traceable query information</w:t>
            </w:r>
          </w:p>
        </w:tc>
      </w:tr>
    </w:tbl>
    <w:p>
      <w:pPr>
        <w:spacing w:before="0" w:after="0" w:line="200" w:lineRule="exact"/>
      </w:pPr>
    </w:p>
    <w:p>
      <w:pPr>
        <w:spacing w:before="0" w:after="120" w:line="270" w:lineRule="auto"/>
        <w:widowControl/>
      </w:pPr>
      <w:r>
        <w:rPr>
          <w:rFonts w:ascii="Arial" w:hAnsi="Arial"/>
          <w:sz w:val="19"/>
          <w:color w:val="142D45"/>
        </w:rPr>
        <w:t xml:space="preserve">The application’s default date interpretation is anchored to the dataset rather than the wall clock. Ambiguous requests can trigger clarification, and unsupported requests can be rejected. These controls reduce the risk of plausible but invalid queries; they do not establish that every natural-language request is interpreted correctly.</w:t>
      </w:r>
    </w:p>
    <w:p>
      <w:pPr>
        <w:spacing w:before="90" w:after="70" w:line="270" w:lineRule="auto"/>
        <w:keepNext/>
        <w:outlineLvl w:val="1"/>
        <w:widowControl/>
      </w:pPr>
      <w:r>
        <w:rPr>
          <w:rFonts w:ascii="Arial" w:hAnsi="Arial"/>
          <w:sz w:val="23"/>
          <w:color w:val="087E8B"/>
          <w:b/>
        </w:rPr>
        <w:t xml:space="preserve">Evaluation status</w:t>
      </w:r>
    </w:p>
    <w:p>
      <w:pPr>
        <w:spacing w:before="0" w:after="120" w:line="270" w:lineRule="auto"/>
        <w:widowControl/>
      </w:pPr>
      <w:r>
        <w:rPr>
          <w:rFonts w:ascii="Arial" w:hAnsi="Arial"/>
          <w:sz w:val="19"/>
          <w:color w:val="142D45"/>
        </w:rPr>
        <w:t xml:space="preserve">The repository includes tests for ambiguity, intent routing, schema resolution, SQL validation, execution, and query planning, plus a golden-suite runner. No aggregate accuracy or complete test-pass rate was established during report preparation, so none is claimed. A production evaluation should score intent correctness, SQL validity, result correctness, clarification quality, rejection behavior, latency, and query cost separately.</w:t>
      </w:r>
    </w:p>
    <w:p>
      <w:pPr>
        <w:spacing w:before="90" w:after="70" w:line="270" w:lineRule="auto"/>
        <w:keepNext/>
        <w:outlineLvl w:val="1"/>
        <w:widowControl/>
      </w:pPr>
      <w:r>
        <w:rPr>
          <w:rFonts w:ascii="Arial" w:hAnsi="Arial"/>
          <w:sz w:val="23"/>
          <w:color w:val="087E8B"/>
          <w:b/>
        </w:rPr>
        <w:t xml:space="preserve">Runtime and dependency management</w:t>
      </w:r>
    </w:p>
    <w:p>
      <w:pPr>
        <w:spacing w:before="0" w:after="120" w:line="270" w:lineRule="auto"/>
        <w:widowControl/>
      </w:pPr>
      <w:r>
        <w:rPr>
          <w:rFonts w:ascii="Arial" w:hAnsi="Arial"/>
          <w:sz w:val="19"/>
          <w:color w:val="142D45"/>
        </w:rPr>
        <w:t xml:space="preserve">The dashboard is served locally by Streamlit on port 8501. Recent missing-module failures were resolved by installing DuckDB, Pydantic, SQLGlot and associated dependencies in the same project virtual environment used by the server. Page checks passed and the server health endpoint returned “ok”; pip reported no broken requirements. This verifies the local runtime, not deployment resilience. [S10]</w:t>
      </w:r>
    </w:p>
    <w:p>
      <w:pPr>
        <w:spacing w:before="0" w:after="120" w:line="270" w:lineRule="auto"/>
        <w:widowControl/>
      </w:pPr>
      <w:r>
        <w:rPr>
          <w:rFonts w:ascii="Arial" w:hAnsi="Arial"/>
          <w:sz w:val="19"/>
          <w:color w:val="142D45"/>
        </w:rPr>
        <w:t xml:space="preserve">For repeatable delivery, pin a tested environment and package versioned model artifacts, feature definitions, data-window metadata and evaluation outputs together. Keep API credentials outside the report and source control. The training utilities also import fastparquet, which should be reconciled with the dependency manifest before rerunning that path.</w:t>
      </w:r>
    </w:p>
    <w:p>
      <w:r>
        <w:br w:type="page"/>
      </w:r>
    </w:p>
    <w:p>
      <w:pPr>
        <w:spacing w:before="0" w:after="200" w:line="270" w:lineRule="auto"/>
        <w:keepNext/>
        <w:outlineLvl w:val="0"/>
        <w:widowControl/>
      </w:pPr>
      <w:r>
        <w:rPr>
          <w:rFonts w:ascii="Arial" w:hAnsi="Arial"/>
          <w:sz w:val="38"/>
          <w:color w:val="142D45"/>
          <w:b/>
        </w:rPr>
        <w:t xml:space="preserve">12 / Business findings &amp; scenario economics</w:t>
      </w:r>
    </w:p>
    <w:p>
      <w:pPr>
        <w:spacing w:before="0" w:after="120" w:line="270" w:lineRule="auto"/>
        <w:widowControl/>
      </w:pPr>
      <w:r>
        <w:rPr>
          <w:rFonts w:ascii="Arial" w:hAnsi="Arial"/>
          <w:sz w:val="19"/>
          <w:color w:val="142D45"/>
        </w:rPr>
        <w:t xml:space="preserve">The exported business tables are generated from an April 2025 raw-file analysis by default, with 3,782,338 trips in the fee decomposition. They are not full-year cleaned-data aggregates. Queens overnight occupied-trip revenue velocity is reported as $127.81/hour versus $82.83/hour for Manhattan midday. This reflects trip revenue relative to recorded trip time, not net driver earnings after waiting, empty travel and costs. [S8]</w:t>
      </w:r>
    </w:p>
    <w:p>
      <w:pPr>
        <w:spacing w:before="0" w:after="120" w:line="270" w:lineRule="auto"/>
        <w:widowControl/>
      </w:pPr>
      <w:r>
        <w:rPr>
          <w:rFonts w:ascii="Arial" w:hAnsi="Arial"/>
          <w:sz w:val="19"/>
          <w:color w:val="142D45"/>
        </w:rPr>
        <w:t xml:space="preserve">The Manhattan–Brooklyn table has 72,106 outbound trips and 28,909 returns: a difference of 43,197 and a 59.9% imbalance proxy. Without vehicle-linked trajectories, this is not an observed empty-return rate. Queens has more returns than outbound trips, producing a negative proxy; clip or relabel the metric before interpreting it as a rate.</w:t>
      </w:r>
    </w:p>
    <w:tbl>
      <w:tblPr>
        <w:tblW w:w="9900" w:type="dxa"/>
        <w:tblLayout w:type="fixed"/>
        <w:tblCellMar>
          <w:top w:w="90" w:type="dxa"/>
          <w:left w:w="130" w:type="dxa"/>
          <w:bottom w:w="90" w:type="dxa"/>
          <w:right w:w="130" w:type="dxa"/>
        </w:tblCellMar>
        <w:tblBorders>
          <w:insideH w:val="single" w:sz="3" w:color="CFDCE3"/>
        </w:tblBorders>
      </w:tblPr>
      <w:tblGrid>
        <w:gridCol w:w="5600"/>
        <w:gridCol w:w="4300"/>
      </w:tblGrid>
      <w:tr>
        <w:trPr>
          <w:cantSplit/>
          <w:tblHeader/>
        </w:trPr>
        <w:tc>
          <w:tcPr>
            <w:tcW w:w="5600" w:type="dxa"/>
            <w:shd w:fill="EAF3F6"/>
          </w:tcPr>
          <w:p>
            <w:pPr>
              <w:spacing w:before="0" w:after="0" w:line="240" w:lineRule="auto"/>
              <w:widowControl/>
            </w:pPr>
            <w:r>
              <w:rPr>
                <w:rFonts w:ascii="Arial" w:hAnsi="Arial"/>
                <w:sz w:val="17"/>
                <w:color w:val="142D45"/>
              </w:rPr>
              <w:t xml:space="preserve">Annual scenario component</w:t>
            </w:r>
          </w:p>
        </w:tc>
        <w:tc>
          <w:tcPr>
            <w:tcW w:w="4300" w:type="dxa"/>
            <w:shd w:fill="EAF3F6"/>
          </w:tcPr>
          <w:p>
            <w:pPr>
              <w:spacing w:before="0" w:after="0" w:line="240" w:lineRule="auto"/>
              <w:widowControl/>
            </w:pPr>
            <w:r>
              <w:rPr>
                <w:rFonts w:ascii="Arial" w:hAnsi="Arial"/>
                <w:sz w:val="17"/>
                <w:color w:val="142D45"/>
              </w:rPr>
              <w:t xml:space="preserve">Saved simulated value</w:t>
            </w:r>
          </w:p>
        </w:tc>
      </w:tr>
      <w:tr>
        <w:trPr>
          <w:cantSplit/>
        </w:trPr>
        <w:tc>
          <w:tcPr>
            <w:tcW w:w="5600" w:type="dxa"/>
          </w:tcPr>
          <w:p>
            <w:pPr>
              <w:spacing w:before="0" w:after="0" w:line="240" w:lineRule="auto"/>
              <w:widowControl/>
            </w:pPr>
            <w:r>
              <w:rPr>
                <w:rFonts w:ascii="Arial" w:hAnsi="Arial"/>
                <w:sz w:val="17"/>
                <w:color w:val="142D45"/>
              </w:rPr>
              <w:t xml:space="preserve">Tip preset lift</w:t>
            </w:r>
          </w:p>
        </w:tc>
        <w:tc>
          <w:tcPr>
            <w:tcW w:w="4300" w:type="dxa"/>
          </w:tcPr>
          <w:p>
            <w:pPr>
              <w:spacing w:before="0" w:after="0" w:line="240" w:lineRule="auto"/>
              <w:widowControl/>
            </w:pPr>
            <w:r>
              <w:rPr>
                <w:rFonts w:ascii="Arial" w:hAnsi="Arial"/>
                <w:sz w:val="17"/>
                <w:color w:val="142D45"/>
              </w:rPr>
              <w:t xml:space="preserve">$16,679,850.00</w:t>
            </w:r>
          </w:p>
        </w:tc>
      </w:tr>
      <w:tr>
        <w:trPr>
          <w:cantSplit/>
        </w:trPr>
        <w:tc>
          <w:tcPr>
            <w:tcW w:w="5600" w:type="dxa"/>
          </w:tcPr>
          <w:p>
            <w:pPr>
              <w:spacing w:before="0" w:after="0" w:line="240" w:lineRule="auto"/>
              <w:widowControl/>
            </w:pPr>
            <w:r>
              <w:rPr>
                <w:rFonts w:ascii="Arial" w:hAnsi="Arial"/>
                <w:sz w:val="17"/>
                <w:color w:val="142D45"/>
              </w:rPr>
              <w:t xml:space="preserve">Cash-to-digital recorded tip gain</w:t>
            </w:r>
          </w:p>
        </w:tc>
        <w:tc>
          <w:tcPr>
            <w:tcW w:w="4300" w:type="dxa"/>
          </w:tcPr>
          <w:p>
            <w:pPr>
              <w:spacing w:before="0" w:after="0" w:line="240" w:lineRule="auto"/>
              <w:widowControl/>
            </w:pPr>
            <w:r>
              <w:rPr>
                <w:rFonts w:ascii="Arial" w:hAnsi="Arial"/>
                <w:sz w:val="17"/>
                <w:color w:val="142D45"/>
              </w:rPr>
              <w:t xml:space="preserve">$4,549,050.00</w:t>
            </w:r>
          </w:p>
        </w:tc>
      </w:tr>
      <w:tr>
        <w:trPr>
          <w:cantSplit/>
        </w:trPr>
        <w:tc>
          <w:tcPr>
            <w:tcW w:w="5600" w:type="dxa"/>
          </w:tcPr>
          <w:p>
            <w:pPr>
              <w:spacing w:before="0" w:after="0" w:line="240" w:lineRule="auto"/>
              <w:widowControl/>
            </w:pPr>
            <w:r>
              <w:rPr>
                <w:rFonts w:ascii="Arial" w:hAnsi="Arial"/>
                <w:sz w:val="17"/>
                <w:color w:val="142D45"/>
              </w:rPr>
              <w:t xml:space="preserve">Avoided empty-mile costs</w:t>
            </w:r>
          </w:p>
        </w:tc>
        <w:tc>
          <w:tcPr>
            <w:tcW w:w="4300" w:type="dxa"/>
          </w:tcPr>
          <w:p>
            <w:pPr>
              <w:spacing w:before="0" w:after="0" w:line="240" w:lineRule="auto"/>
              <w:widowControl/>
            </w:pPr>
            <w:r>
              <w:rPr>
                <w:rFonts w:ascii="Arial" w:hAnsi="Arial"/>
                <w:sz w:val="17"/>
                <w:color w:val="142D45"/>
              </w:rPr>
              <w:t xml:space="preserve">$4,741,764.30</w:t>
            </w:r>
          </w:p>
        </w:tc>
      </w:tr>
      <w:tr>
        <w:trPr>
          <w:cantSplit/>
        </w:trPr>
        <w:tc>
          <w:tcPr>
            <w:tcW w:w="5600" w:type="dxa"/>
          </w:tcPr>
          <w:p>
            <w:pPr>
              <w:spacing w:before="0" w:after="0" w:line="240" w:lineRule="auto"/>
              <w:widowControl/>
            </w:pPr>
            <w:r>
              <w:rPr>
                <w:rFonts w:ascii="Arial" w:hAnsi="Arial"/>
                <w:sz w:val="17"/>
                <w:color w:val="142D45"/>
              </w:rPr>
              <w:t xml:space="preserve">Total modeled driver benefit</w:t>
            </w:r>
          </w:p>
        </w:tc>
        <w:tc>
          <w:tcPr>
            <w:tcW w:w="4300" w:type="dxa"/>
          </w:tcPr>
          <w:p>
            <w:pPr>
              <w:spacing w:before="0" w:after="0" w:line="240" w:lineRule="auto"/>
              <w:widowControl/>
            </w:pPr>
            <w:r>
              <w:rPr>
                <w:rFonts w:ascii="Arial" w:hAnsi="Arial"/>
                <w:sz w:val="17"/>
                <w:color w:val="142D45"/>
              </w:rPr>
              <w:t xml:space="preserve">$25,970,664.30</w:t>
            </w:r>
          </w:p>
        </w:tc>
      </w:tr>
      <w:tr>
        <w:trPr>
          <w:cantSplit/>
        </w:trPr>
        <w:tc>
          <w:tcPr>
            <w:tcW w:w="5600" w:type="dxa"/>
          </w:tcPr>
          <w:p>
            <w:pPr>
              <w:spacing w:before="0" w:after="0" w:line="240" w:lineRule="auto"/>
              <w:widowControl/>
            </w:pPr>
            <w:r>
              <w:rPr>
                <w:rFonts w:ascii="Arial" w:hAnsi="Arial"/>
                <w:sz w:val="17"/>
                <w:color w:val="142D45"/>
              </w:rPr>
              <w:t xml:space="preserve">Average across 13,500 drivers</w:t>
            </w:r>
          </w:p>
        </w:tc>
        <w:tc>
          <w:tcPr>
            <w:tcW w:w="4300" w:type="dxa"/>
          </w:tcPr>
          <w:p>
            <w:pPr>
              <w:spacing w:before="0" w:after="0" w:line="240" w:lineRule="auto"/>
              <w:widowControl/>
            </w:pPr>
            <w:r>
              <w:rPr>
                <w:rFonts w:ascii="Arial" w:hAnsi="Arial"/>
                <w:sz w:val="17"/>
                <w:color w:val="142D45"/>
              </w:rPr>
              <w:t xml:space="preserve">$1,923.75 per driver</w:t>
            </w:r>
          </w:p>
        </w:tc>
      </w:tr>
      <w:tr>
        <w:trPr>
          <w:cantSplit/>
        </w:trPr>
        <w:tc>
          <w:tcPr>
            <w:tcW w:w="5600" w:type="dxa"/>
          </w:tcPr>
          <w:p>
            <w:pPr>
              <w:spacing w:before="0" w:after="0" w:line="240" w:lineRule="auto"/>
              <w:widowControl/>
            </w:pPr>
            <w:r>
              <w:rPr>
                <w:rFonts w:ascii="Arial" w:hAnsi="Arial"/>
                <w:sz w:val="17"/>
                <w:color w:val="142D45"/>
              </w:rPr>
              <w:t xml:space="preserve">Empty miles avoided</w:t>
            </w:r>
          </w:p>
        </w:tc>
        <w:tc>
          <w:tcPr>
            <w:tcW w:w="4300" w:type="dxa"/>
          </w:tcPr>
          <w:p>
            <w:pPr>
              <w:spacing w:before="0" w:after="0" w:line="240" w:lineRule="auto"/>
              <w:widowControl/>
            </w:pPr>
            <w:r>
              <w:rPr>
                <w:rFonts w:ascii="Arial" w:hAnsi="Arial"/>
                <w:sz w:val="17"/>
                <w:color w:val="142D45"/>
              </w:rPr>
              <w:t xml:space="preserve">7,295,022 miles</w:t>
            </w:r>
          </w:p>
        </w:tc>
      </w:tr>
    </w:tbl>
    <w:p>
      <w:pPr>
        <w:spacing w:before="0" w:after="0" w:line="200" w:lineRule="exact"/>
      </w:pPr>
    </w:p>
    <w:p>
      <w:pPr>
        <w:spacing w:before="90" w:after="70" w:line="270" w:lineRule="auto"/>
        <w:keepNext/>
        <w:outlineLvl w:val="1"/>
        <w:widowControl/>
      </w:pPr>
      <w:r>
        <w:rPr>
          <w:rFonts w:ascii="Arial" w:hAnsi="Arial"/>
          <w:sz w:val="23"/>
          <w:color w:val="087E8B"/>
          <w:b/>
        </w:rPr>
        <w:t xml:space="preserve">Assumptions behind the scenario</w:t>
      </w:r>
    </w:p>
    <w:p>
      <w:pPr>
        <w:spacing w:before="0" w:after="120" w:line="270" w:lineRule="auto"/>
        <w:widowControl/>
      </w:pPr>
      <w:r>
        <w:rPr>
          <w:rFonts w:ascii="Arial" w:hAnsi="Arial"/>
          <w:sz w:val="19"/>
          <w:color w:val="142D45"/>
        </w:rPr>
        <w:t xml:space="preserve">The calculation assumes 45.95 million annual trips, $16.50 average base fare, 12% cash share, a 2.5-percentage-point tip lift, 25% cash conversion, 20% digital tipping, 18% outer-borough drop-offs, 70% empty returns, a 30% reduction in those returns, 4.2 avoided miles per affected trip, and $0.65 cost per mile. These are scenario inputs, not jointly estimated causal effects.</w:t>
      </w:r>
    </w:p>
    <w:p>
      <w:pPr>
        <w:spacing w:before="0" w:after="120" w:line="270" w:lineRule="auto"/>
        <w:widowControl/>
      </w:pPr>
      <w:r>
        <w:rPr>
          <w:rFonts w:ascii="Arial" w:hAnsi="Arial"/>
          <w:sz w:val="19"/>
          <w:color w:val="142D45"/>
        </w:rPr>
        <w:t xml:space="preserve">Cash tips are not reliably recorded, so a recorded digital-tip increase is not automatically an increase in total driver income. The export’s $17.25 million “platform EBITDA boost” uses an assumed processing-fee calculation without operating costs or an incremental counterfactual; it should not be represented as verified EBITDA.</w:t>
      </w:r>
    </w:p>
    <w:p>
      <w:pPr>
        <w:spacing w:before="90" w:after="70" w:line="270" w:lineRule="auto"/>
        <w:keepNext/>
        <w:outlineLvl w:val="1"/>
        <w:widowControl/>
      </w:pPr>
      <w:r>
        <w:rPr>
          <w:rFonts w:ascii="Arial" w:hAnsi="Arial"/>
          <w:sz w:val="23"/>
          <w:color w:val="087E8B"/>
          <w:b/>
        </w:rPr>
        <w:t xml:space="preserve">Decision implications</w:t>
      </w:r>
    </w:p>
    <w:p>
      <w:pPr>
        <w:spacing w:before="0" w:after="120" w:line="270" w:lineRule="auto"/>
        <w:widowControl/>
      </w:pPr>
      <w:r>
        <w:rPr>
          <w:rFonts w:ascii="Arial" w:hAnsi="Arial"/>
          <w:sz w:val="19"/>
          <w:color w:val="142D45"/>
        </w:rPr>
        <w:t xml:space="preserve">Prioritize a measured dispatch-staging pilot with vehicle-level empty-mile outcomes and a clearly defined comparison group. Test payment-interface changes with voluntary, transparent choices and measure total earnings rather than recorded tips alone. Revenue decomposition also leaves about 5.35% outside its displayed categories; reconcile omitted fee components before financial reporting.</w:t>
      </w:r>
    </w:p>
    <w:p>
      <w:r>
        <w:br w:type="page"/>
      </w:r>
    </w:p>
    <w:p>
      <w:pPr>
        <w:spacing w:before="0" w:after="200" w:line="270" w:lineRule="auto"/>
        <w:keepNext/>
        <w:outlineLvl w:val="0"/>
        <w:widowControl/>
      </w:pPr>
      <w:r>
        <w:rPr>
          <w:rFonts w:ascii="Arial" w:hAnsi="Arial"/>
          <w:sz w:val="38"/>
          <w:color w:val="142D45"/>
          <w:b/>
        </w:rPr>
        <w:t xml:space="preserve">13 / Limitations, priorities &amp; conclusions</w:t>
      </w:r>
    </w:p>
    <w:tbl>
      <w:tblPr>
        <w:tblW w:w="9900" w:type="dxa"/>
        <w:tblLayout w:type="fixed"/>
        <w:tblCellMar>
          <w:top w:w="90" w:type="dxa"/>
          <w:left w:w="130" w:type="dxa"/>
          <w:bottom w:w="90" w:type="dxa"/>
          <w:right w:w="130" w:type="dxa"/>
        </w:tblCellMar>
        <w:tblBorders>
          <w:insideH w:val="single" w:sz="3" w:color="CFDCE3"/>
        </w:tblBorders>
      </w:tblPr>
      <w:tblGrid>
        <w:gridCol w:w="2860"/>
        <w:gridCol w:w="7040"/>
      </w:tblGrid>
      <w:tr>
        <w:trPr>
          <w:cantSplit/>
          <w:tblHeader/>
        </w:trPr>
        <w:tc>
          <w:tcPr>
            <w:tcW w:w="2860" w:type="dxa"/>
            <w:shd w:fill="EAF3F6"/>
          </w:tcPr>
          <w:p>
            <w:pPr>
              <w:spacing w:before="0" w:after="0" w:line="240" w:lineRule="auto"/>
              <w:widowControl/>
            </w:pPr>
            <w:r>
              <w:rPr>
                <w:rFonts w:ascii="Arial" w:hAnsi="Arial"/>
                <w:sz w:val="17"/>
                <w:color w:val="142D45"/>
              </w:rPr>
              <w:t xml:space="preserve">Priority</w:t>
            </w:r>
          </w:p>
        </w:tc>
        <w:tc>
          <w:tcPr>
            <w:tcW w:w="7040" w:type="dxa"/>
            <w:shd w:fill="EAF3F6"/>
          </w:tcPr>
          <w:p>
            <w:pPr>
              <w:spacing w:before="0" w:after="0" w:line="240" w:lineRule="auto"/>
              <w:widowControl/>
            </w:pPr>
            <w:r>
              <w:rPr>
                <w:rFonts w:ascii="Arial" w:hAnsi="Arial"/>
                <w:sz w:val="17"/>
                <w:color w:val="142D45"/>
              </w:rPr>
              <w:t xml:space="preserve">Evidence / action required</w:t>
            </w:r>
          </w:p>
        </w:tc>
      </w:tr>
      <w:tr>
        <w:trPr>
          <w:cantSplit/>
        </w:trPr>
        <w:tc>
          <w:tcPr>
            <w:tcW w:w="2860" w:type="dxa"/>
          </w:tcPr>
          <w:p>
            <w:pPr>
              <w:spacing w:before="0" w:after="0" w:line="240" w:lineRule="auto"/>
              <w:widowControl/>
            </w:pPr>
            <w:r>
              <w:rPr>
                <w:rFonts w:ascii="Arial" w:hAnsi="Arial"/>
                <w:sz w:val="17"/>
                <w:color w:val="142D45"/>
              </w:rPr>
              <w:t xml:space="preserve">1 · Reproducibility</w:t>
            </w:r>
          </w:p>
        </w:tc>
        <w:tc>
          <w:tcPr>
            <w:tcW w:w="7040" w:type="dxa"/>
          </w:tcPr>
          <w:p>
            <w:pPr>
              <w:spacing w:before="0" w:after="0" w:line="240" w:lineRule="auto"/>
              <w:widowControl/>
            </w:pPr>
            <w:r>
              <w:rPr>
                <w:rFonts w:ascii="Arial" w:hAnsi="Arial"/>
                <w:sz w:val="17"/>
                <w:color w:val="142D45"/>
              </w:rPr>
              <w:t xml:space="preserve">Resolve existing merge-conflict markers in the EDA notebook; rerun explicit timestamp splits and save immutable data/model manifests.</w:t>
            </w:r>
          </w:p>
        </w:tc>
      </w:tr>
      <w:tr>
        <w:trPr>
          <w:cantSplit/>
        </w:trPr>
        <w:tc>
          <w:tcPr>
            <w:tcW w:w="2860" w:type="dxa"/>
          </w:tcPr>
          <w:p>
            <w:pPr>
              <w:spacing w:before="0" w:after="0" w:line="240" w:lineRule="auto"/>
              <w:widowControl/>
            </w:pPr>
            <w:r>
              <w:rPr>
                <w:rFonts w:ascii="Arial" w:hAnsi="Arial"/>
                <w:sz w:val="17"/>
                <w:color w:val="142D45"/>
              </w:rPr>
              <w:t xml:space="preserve">2 · Fare validity</w:t>
            </w:r>
          </w:p>
        </w:tc>
        <w:tc>
          <w:tcPr>
            <w:tcW w:w="7040" w:type="dxa"/>
          </w:tcPr>
          <w:p>
            <w:pPr>
              <w:spacing w:before="0" w:after="0" w:line="240" w:lineRule="auto"/>
              <w:widowControl/>
            </w:pPr>
            <w:r>
              <w:rPr>
                <w:rFonts w:ascii="Arial" w:hAnsi="Arial"/>
                <w:sz w:val="17"/>
                <w:color w:val="142D45"/>
              </w:rPr>
              <w:t xml:space="preserve">Use a true pre-trip distance estimate; validate disjoint date ranges and out-of-fold route statistics; regenerate the absent fare artifact.</w:t>
            </w:r>
          </w:p>
        </w:tc>
      </w:tr>
      <w:tr>
        <w:trPr>
          <w:cantSplit/>
        </w:trPr>
        <w:tc>
          <w:tcPr>
            <w:tcW w:w="2860" w:type="dxa"/>
          </w:tcPr>
          <w:p>
            <w:pPr>
              <w:spacing w:before="0" w:after="0" w:line="240" w:lineRule="auto"/>
              <w:widowControl/>
            </w:pPr>
            <w:r>
              <w:rPr>
                <w:rFonts w:ascii="Arial" w:hAnsi="Arial"/>
                <w:sz w:val="17"/>
                <w:color w:val="142D45"/>
              </w:rPr>
              <w:t xml:space="preserve">3 · Demand validation</w:t>
            </w:r>
          </w:p>
        </w:tc>
        <w:tc>
          <w:tcPr>
            <w:tcW w:w="7040" w:type="dxa"/>
          </w:tcPr>
          <w:p>
            <w:pPr>
              <w:spacing w:before="0" w:after="0" w:line="240" w:lineRule="auto"/>
              <w:widowControl/>
            </w:pPr>
            <w:r>
              <w:rPr>
                <w:rFonts w:ascii="Arial" w:hAnsi="Arial"/>
                <w:sz w:val="17"/>
                <w:color w:val="142D45"/>
              </w:rPr>
              <w:t xml:space="preserve">Use multiple rolling origins and training-only zone selection; report pooled and horizon WAPE with the same aggregation level.</w:t>
            </w:r>
          </w:p>
        </w:tc>
      </w:tr>
      <w:tr>
        <w:trPr>
          <w:cantSplit/>
        </w:trPr>
        <w:tc>
          <w:tcPr>
            <w:tcW w:w="2860" w:type="dxa"/>
          </w:tcPr>
          <w:p>
            <w:pPr>
              <w:spacing w:before="0" w:after="0" w:line="240" w:lineRule="auto"/>
              <w:widowControl/>
            </w:pPr>
            <w:r>
              <w:rPr>
                <w:rFonts w:ascii="Arial" w:hAnsi="Arial"/>
                <w:sz w:val="17"/>
                <w:color w:val="142D45"/>
              </w:rPr>
              <w:t xml:space="preserve">4 · ETA reliability</w:t>
            </w:r>
          </w:p>
        </w:tc>
        <w:tc>
          <w:tcPr>
            <w:tcW w:w="7040" w:type="dxa"/>
          </w:tcPr>
          <w:p>
            <w:pPr>
              <w:spacing w:before="0" w:after="0" w:line="240" w:lineRule="auto"/>
              <w:widowControl/>
            </w:pPr>
            <w:r>
              <w:rPr>
                <w:rFonts w:ascii="Arial" w:hAnsi="Arial"/>
                <w:sz w:val="17"/>
                <w:color w:val="142D45"/>
              </w:rPr>
              <w:t xml:space="preserve">Address long-trip errors; validate uncertainty intervals and geographically/time-stratified performance.</w:t>
            </w:r>
          </w:p>
        </w:tc>
      </w:tr>
      <w:tr>
        <w:trPr>
          <w:cantSplit/>
        </w:trPr>
        <w:tc>
          <w:tcPr>
            <w:tcW w:w="2860" w:type="dxa"/>
          </w:tcPr>
          <w:p>
            <w:pPr>
              <w:spacing w:before="0" w:after="0" w:line="240" w:lineRule="auto"/>
              <w:widowControl/>
            </w:pPr>
            <w:r>
              <w:rPr>
                <w:rFonts w:ascii="Arial" w:hAnsi="Arial"/>
                <w:sz w:val="17"/>
                <w:color w:val="142D45"/>
              </w:rPr>
              <w:t xml:space="preserve">5 · Artifact integration</w:t>
            </w:r>
          </w:p>
        </w:tc>
        <w:tc>
          <w:tcPr>
            <w:tcW w:w="7040" w:type="dxa"/>
          </w:tcPr>
          <w:p>
            <w:pPr>
              <w:spacing w:before="0" w:after="0" w:line="240" w:lineRule="auto"/>
              <w:widowControl/>
            </w:pPr>
            <w:r>
              <w:rPr>
                <w:rFonts w:ascii="Arial" w:hAnsi="Arial"/>
                <w:sz w:val="17"/>
                <w:color w:val="142D45"/>
              </w:rPr>
              <w:t xml:space="preserve">Package the fleet model and strategy metadata; distinguish its 72-hour zone forecast from the seven-day UI baseline.</w:t>
            </w:r>
          </w:p>
        </w:tc>
      </w:tr>
      <w:tr>
        <w:trPr>
          <w:cantSplit/>
        </w:trPr>
        <w:tc>
          <w:tcPr>
            <w:tcW w:w="2860" w:type="dxa"/>
          </w:tcPr>
          <w:p>
            <w:pPr>
              <w:spacing w:before="0" w:after="0" w:line="240" w:lineRule="auto"/>
              <w:widowControl/>
            </w:pPr>
            <w:r>
              <w:rPr>
                <w:rFonts w:ascii="Arial" w:hAnsi="Arial"/>
                <w:sz w:val="17"/>
                <w:color w:val="142D45"/>
              </w:rPr>
              <w:t xml:space="preserve">6 · Operational measurement</w:t>
            </w:r>
          </w:p>
        </w:tc>
        <w:tc>
          <w:tcPr>
            <w:tcW w:w="7040" w:type="dxa"/>
          </w:tcPr>
          <w:p>
            <w:pPr>
              <w:spacing w:before="0" w:after="0" w:line="240" w:lineRule="auto"/>
              <w:widowControl/>
            </w:pPr>
            <w:r>
              <w:rPr>
                <w:rFonts w:ascii="Arial" w:hAnsi="Arial"/>
                <w:sz w:val="17"/>
                <w:color w:val="142D45"/>
              </w:rPr>
              <w:t xml:space="preserve">Measure supply, waiting and empty mileage directly; validate scenario assumptions through pilots.</w:t>
            </w:r>
          </w:p>
        </w:tc>
      </w:tr>
    </w:tbl>
    <w:p>
      <w:pPr>
        <w:spacing w:before="0" w:after="0" w:line="200" w:lineRule="exact"/>
      </w:pPr>
    </w:p>
    <w:p>
      <w:pPr>
        <w:spacing w:before="90" w:after="70" w:line="270" w:lineRule="auto"/>
        <w:keepNext/>
        <w:outlineLvl w:val="1"/>
        <w:widowControl/>
      </w:pPr>
      <w:r>
        <w:rPr>
          <w:rFonts w:ascii="Arial" w:hAnsi="Arial"/>
          <w:sz w:val="23"/>
          <w:color w:val="087E8B"/>
          <w:b/>
        </w:rPr>
        <w:t xml:space="preserve">Scope of evidence</w:t>
      </w:r>
    </w:p>
    <w:p>
      <w:pPr>
        <w:spacing w:before="0" w:after="120" w:line="270" w:lineRule="auto"/>
        <w:widowControl/>
      </w:pPr>
      <w:r>
        <w:rPr>
          <w:rFonts w:ascii="Arial" w:hAnsi="Arial"/>
          <w:sz w:val="19"/>
          <w:color w:val="142D45"/>
        </w:rPr>
        <w:t xml:space="preserve">Saved notebook results document completed experiments on other runs, while fresh checks here establish the current cleaned-data count, the seasonal baseline backtest, and basic dashboard operation. No comprehensive training rerun, external-data verification, live dispatch experiment, or production load test was performed for this report. Artifact/version alignment remains to be recorded.</w:t>
      </w:r>
    </w:p>
    <w:p>
      <w:pPr>
        <w:spacing w:before="90" w:after="70" w:line="270" w:lineRule="auto"/>
        <w:keepNext/>
        <w:outlineLvl w:val="1"/>
        <w:widowControl/>
      </w:pPr>
      <w:r>
        <w:rPr>
          <w:rFonts w:ascii="Arial" w:hAnsi="Arial"/>
          <w:sz w:val="23"/>
          <w:color w:val="087E8B"/>
          <w:b/>
        </w:rPr>
        <w:t xml:space="preserve">Conclusions</w:t>
      </w:r>
    </w:p>
    <w:p>
      <w:pPr>
        <w:spacing w:before="0" w:after="120" w:line="270" w:lineRule="auto"/>
        <w:widowControl/>
      </w:pPr>
      <w:r>
        <w:rPr>
          <w:rFonts w:ascii="Arial" w:hAnsi="Arial"/>
          <w:sz w:val="19"/>
          <w:color w:val="142D45"/>
        </w:rPr>
        <w:t xml:space="preserve">UrbanFlow demonstrates a coherent path from taxi trip data to passenger estimates and operational insight. Stored validation results favor LightGBM for fare prediction; the arrival model improves on a median baseline but has a pronounced long-trip weakness. The fleet notebook provides horizon-specific demand ranking, while the implemented seasonal baseline offers a transparent and testable dashboard forecast.</w:t>
      </w:r>
    </w:p>
    <w:p>
      <w:pPr>
        <w:spacing w:before="0" w:after="120" w:line="270" w:lineRule="auto"/>
        <w:widowControl/>
      </w:pPr>
      <w:r>
        <w:rPr>
          <w:rFonts w:ascii="Arial" w:hAnsi="Arial"/>
          <w:sz w:val="19"/>
          <w:color w:val="142D45"/>
        </w:rPr>
        <w:t xml:space="preserve">Spatial profiles and business tables identify useful hypotheses for staging and revenue improvement. Their value lies in narrowing operational decisions to test, rather than proving causal savings. The next milestone should be a reproducible, leakage-audited model release followed by a bounded dispatch pilot with measured service and driver outcomes.</w:t>
      </w:r>
    </w:p>
    <w:p>
      <w:pPr>
        <w:spacing w:before="0" w:after="120" w:line="270" w:lineRule="auto"/>
        <w:widowControl/>
      </w:pPr>
      <w:r>
        <w:rPr>
          <w:rFonts w:ascii="Arial" w:hAnsi="Arial"/>
          <w:sz w:val="19"/>
          <w:color w:val="142D45"/>
        </w:rPr>
        <w:t xml:space="preserve">The project is suitable as an integrated datathon prototype. Its technical contribution is the connection of audited data, interpretable baselines, tree-based prediction, spatial segmentation, structured query access and a working user interface—with the evaluation limits stated explicitly.</w:t>
      </w:r>
    </w:p>
    <w:p>
      <w:r>
        <w:br w:type="page"/>
      </w:r>
    </w:p>
    <w:p>
      <w:pPr>
        <w:spacing w:before="0" w:after="200" w:line="270" w:lineRule="auto"/>
        <w:keepNext/>
        <w:outlineLvl w:val="0"/>
        <w:widowControl/>
      </w:pPr>
      <w:r>
        <w:rPr>
          <w:rFonts w:ascii="Arial" w:hAnsi="Arial"/>
          <w:sz w:val="38"/>
          <w:color w:val="142D45"/>
          <w:b/>
        </w:rPr>
        <w:t xml:space="preserve">14 / Source register &amp; reproduction notes</w:t>
      </w:r>
    </w:p>
    <w:p>
      <w:pPr>
        <w:spacing w:before="0" w:after="70" w:line="270" w:lineRule="auto"/>
        <w:widowControl/>
      </w:pPr>
      <w:r>
        <w:rPr>
          <w:rFonts w:ascii="Arial" w:hAnsi="Arial"/>
          <w:sz w:val="16"/>
          <w:color w:val="142D45"/>
        </w:rPr>
        <w:t xml:space="preserve">All sources below are project-local primary evidence. Paths are relative to the repository root. Bracketed source identifiers throughout the report map to this register; no external performance claims or third-party market assumptions were added.</w:t>
      </w:r>
    </w:p>
    <w:tbl>
      <w:tblPr>
        <w:tblW w:w="9900" w:type="dxa"/>
        <w:tblLayout w:type="fixed"/>
        <w:tblCellMar>
          <w:top w:w="90" w:type="dxa"/>
          <w:left w:w="130" w:type="dxa"/>
          <w:bottom w:w="90" w:type="dxa"/>
          <w:right w:w="130" w:type="dxa"/>
        </w:tblCellMar>
        <w:tblBorders>
          <w:insideH w:val="single" w:sz="3" w:color="CFDCE3"/>
        </w:tblBorders>
      </w:tblPr>
      <w:tblGrid>
        <w:gridCol w:w="700"/>
        <w:gridCol w:w="5840"/>
        <w:gridCol w:w="3360"/>
      </w:tblGrid>
      <w:tr>
        <w:trPr>
          <w:cantSplit/>
          <w:tblHeader/>
        </w:trPr>
        <w:tc>
          <w:tcPr>
            <w:tcW w:w="700" w:type="dxa"/>
            <w:shd w:fill="EAF3F6"/>
          </w:tcPr>
          <w:p>
            <w:pPr>
              <w:spacing w:before="0" w:after="0" w:line="240" w:lineRule="auto"/>
              <w:widowControl/>
            </w:pPr>
            <w:r>
              <w:rPr>
                <w:rFonts w:ascii="Arial" w:hAnsi="Arial"/>
                <w:sz w:val="17"/>
                <w:color w:val="142D45"/>
              </w:rPr>
              <w:t xml:space="preserve">ID</w:t>
            </w:r>
          </w:p>
        </w:tc>
        <w:tc>
          <w:tcPr>
            <w:tcW w:w="5840" w:type="dxa"/>
            <w:shd w:fill="EAF3F6"/>
          </w:tcPr>
          <w:p>
            <w:pPr>
              <w:spacing w:before="0" w:after="0" w:line="240" w:lineRule="auto"/>
              <w:widowControl/>
            </w:pPr>
            <w:r>
              <w:rPr>
                <w:rFonts w:ascii="Arial" w:hAnsi="Arial"/>
                <w:sz w:val="17"/>
                <w:color w:val="142D45"/>
              </w:rPr>
              <w:t xml:space="preserve">Source</w:t>
            </w:r>
          </w:p>
        </w:tc>
        <w:tc>
          <w:tcPr>
            <w:tcW w:w="3360" w:type="dxa"/>
            <w:shd w:fill="EAF3F6"/>
          </w:tcPr>
          <w:p>
            <w:pPr>
              <w:spacing w:before="0" w:after="0" w:line="240" w:lineRule="auto"/>
              <w:widowControl/>
            </w:pPr>
            <w:r>
              <w:rPr>
                <w:rFonts w:ascii="Arial" w:hAnsi="Arial"/>
                <w:sz w:val="17"/>
                <w:color w:val="142D45"/>
              </w:rPr>
              <w:t xml:space="preserve">Used for</w:t>
            </w:r>
          </w:p>
        </w:tc>
      </w:tr>
      <w:tr>
        <w:trPr>
          <w:cantSplit/>
        </w:trPr>
        <w:tc>
          <w:tcPr>
            <w:tcW w:w="700" w:type="dxa"/>
          </w:tcPr>
          <w:p>
            <w:pPr>
              <w:spacing w:before="0" w:after="0" w:line="240" w:lineRule="auto"/>
              <w:widowControl/>
            </w:pPr>
            <w:r>
              <w:rPr>
                <w:rFonts w:ascii="Arial" w:hAnsi="Arial"/>
                <w:sz w:val="17"/>
                <w:color w:val="142D45"/>
              </w:rPr>
              <w:t xml:space="preserve">S1</w:t>
            </w:r>
          </w:p>
        </w:tc>
        <w:tc>
          <w:tcPr>
            <w:tcW w:w="5840" w:type="dxa"/>
          </w:tcPr>
          <w:p>
            <w:pPr>
              <w:spacing w:before="0" w:after="0" w:line="240" w:lineRule="auto"/>
              <w:widowControl/>
            </w:pPr>
            <w:r>
              <w:rPr>
                <w:rFonts w:ascii="Arial" w:hAnsi="Arial"/>
                <w:sz w:val="17"/>
                <w:color w:val="142D45"/>
              </w:rPr>
              <w:t xml:space="preserve">reports/data_quality_summary.json; anomaly_summary.csv; data_quality_decision_matrix.csv</w:t>
            </w:r>
          </w:p>
        </w:tc>
        <w:tc>
          <w:tcPr>
            <w:tcW w:w="3360" w:type="dxa"/>
          </w:tcPr>
          <w:p>
            <w:pPr>
              <w:spacing w:before="0" w:after="0" w:line="240" w:lineRule="auto"/>
              <w:widowControl/>
            </w:pPr>
            <w:r>
              <w:rPr>
                <w:rFonts w:ascii="Arial" w:hAnsi="Arial"/>
                <w:sz w:val="17"/>
                <w:color w:val="142D45"/>
              </w:rPr>
              <w:t xml:space="preserve">Audit counts and task-specific treatments</w:t>
            </w:r>
          </w:p>
        </w:tc>
      </w:tr>
      <w:tr>
        <w:trPr>
          <w:cantSplit/>
        </w:trPr>
        <w:tc>
          <w:tcPr>
            <w:tcW w:w="700" w:type="dxa"/>
          </w:tcPr>
          <w:p>
            <w:pPr>
              <w:spacing w:before="0" w:after="0" w:line="240" w:lineRule="auto"/>
              <w:widowControl/>
            </w:pPr>
            <w:r>
              <w:rPr>
                <w:rFonts w:ascii="Arial" w:hAnsi="Arial"/>
                <w:sz w:val="17"/>
                <w:color w:val="142D45"/>
              </w:rPr>
              <w:t xml:space="preserve">S2</w:t>
            </w:r>
          </w:p>
        </w:tc>
        <w:tc>
          <w:tcPr>
            <w:tcW w:w="5840" w:type="dxa"/>
          </w:tcPr>
          <w:p>
            <w:pPr>
              <w:spacing w:before="0" w:after="0" w:line="240" w:lineRule="auto"/>
              <w:widowControl/>
            </w:pPr>
            <w:r>
              <w:rPr>
                <w:rFonts w:ascii="Arial" w:hAnsi="Arial"/>
                <w:sz w:val="17"/>
                <w:color w:val="142D45"/>
              </w:rPr>
              <w:t xml:space="preserve">notebooks/03_fare_prediction.ipynb; src/models/fare_model.py; train_pipeline.py; src/features/fare_features.py; src/data/make_splits.py</w:t>
            </w:r>
          </w:p>
        </w:tc>
        <w:tc>
          <w:tcPr>
            <w:tcW w:w="3360" w:type="dxa"/>
          </w:tcPr>
          <w:p>
            <w:pPr>
              <w:spacing w:before="0" w:after="0" w:line="240" w:lineRule="auto"/>
              <w:widowControl/>
            </w:pPr>
            <w:r>
              <w:rPr>
                <w:rFonts w:ascii="Arial" w:hAnsi="Arial"/>
                <w:sz w:val="17"/>
                <w:color w:val="142D45"/>
              </w:rPr>
              <w:t xml:space="preserve">Fare methods, saved metrics and split implementation</w:t>
            </w:r>
          </w:p>
        </w:tc>
      </w:tr>
      <w:tr>
        <w:trPr>
          <w:cantSplit/>
        </w:trPr>
        <w:tc>
          <w:tcPr>
            <w:tcW w:w="700" w:type="dxa"/>
          </w:tcPr>
          <w:p>
            <w:pPr>
              <w:spacing w:before="0" w:after="0" w:line="240" w:lineRule="auto"/>
              <w:widowControl/>
            </w:pPr>
            <w:r>
              <w:rPr>
                <w:rFonts w:ascii="Arial" w:hAnsi="Arial"/>
                <w:sz w:val="17"/>
                <w:color w:val="142D45"/>
              </w:rPr>
              <w:t xml:space="preserve">S3</w:t>
            </w:r>
          </w:p>
        </w:tc>
        <w:tc>
          <w:tcPr>
            <w:tcW w:w="5840" w:type="dxa"/>
          </w:tcPr>
          <w:p>
            <w:pPr>
              <w:spacing w:before="0" w:after="0" w:line="240" w:lineRule="auto"/>
              <w:widowControl/>
            </w:pPr>
            <w:r>
              <w:rPr>
                <w:rFonts w:ascii="Arial" w:hAnsi="Arial"/>
                <w:sz w:val="17"/>
                <w:color w:val="142D45"/>
              </w:rPr>
              <w:t xml:space="preserve">notebooks/04_arrival_prediction.ipynb; src/models/arrival_model.py; train_arrival_pipeline.py</w:t>
            </w:r>
          </w:p>
        </w:tc>
        <w:tc>
          <w:tcPr>
            <w:tcW w:w="3360" w:type="dxa"/>
          </w:tcPr>
          <w:p>
            <w:pPr>
              <w:spacing w:before="0" w:after="0" w:line="240" w:lineRule="auto"/>
              <w:widowControl/>
            </w:pPr>
            <w:r>
              <w:rPr>
                <w:rFonts w:ascii="Arial" w:hAnsi="Arial"/>
                <w:sz w:val="17"/>
                <w:color w:val="142D45"/>
              </w:rPr>
              <w:t xml:space="preserve">ETA features, saved metrics and segment diagnostics</w:t>
            </w:r>
          </w:p>
        </w:tc>
      </w:tr>
      <w:tr>
        <w:trPr>
          <w:cantSplit/>
        </w:trPr>
        <w:tc>
          <w:tcPr>
            <w:tcW w:w="700" w:type="dxa"/>
          </w:tcPr>
          <w:p>
            <w:pPr>
              <w:spacing w:before="0" w:after="0" w:line="240" w:lineRule="auto"/>
              <w:widowControl/>
            </w:pPr>
            <w:r>
              <w:rPr>
                <w:rFonts w:ascii="Arial" w:hAnsi="Arial"/>
                <w:sz w:val="17"/>
                <w:color w:val="142D45"/>
              </w:rPr>
              <w:t xml:space="preserve">S4</w:t>
            </w:r>
          </w:p>
        </w:tc>
        <w:tc>
          <w:tcPr>
            <w:tcW w:w="5840" w:type="dxa"/>
          </w:tcPr>
          <w:p>
            <w:pPr>
              <w:spacing w:before="0" w:after="0" w:line="240" w:lineRule="auto"/>
              <w:widowControl/>
            </w:pPr>
            <w:r>
              <w:rPr>
                <w:rFonts w:ascii="Arial" w:hAnsi="Arial"/>
                <w:sz w:val="17"/>
                <w:color w:val="142D45"/>
              </w:rPr>
              <w:t xml:space="preserve">notebooks/04_3.1 The Fleet Dispatcher .ipynb</w:t>
            </w:r>
          </w:p>
        </w:tc>
        <w:tc>
          <w:tcPr>
            <w:tcW w:w="3360" w:type="dxa"/>
          </w:tcPr>
          <w:p>
            <w:pPr>
              <w:spacing w:before="0" w:after="0" w:line="240" w:lineRule="auto"/>
              <w:widowControl/>
            </w:pPr>
            <w:r>
              <w:rPr>
                <w:rFonts w:ascii="Arial" w:hAnsi="Arial"/>
                <w:sz w:val="17"/>
                <w:color w:val="142D45"/>
              </w:rPr>
              <w:t xml:space="preserve">72-hour forecast, validation-selected strategies and saved test scores</w:t>
            </w:r>
          </w:p>
        </w:tc>
      </w:tr>
      <w:tr>
        <w:trPr>
          <w:cantSplit/>
        </w:trPr>
        <w:tc>
          <w:tcPr>
            <w:tcW w:w="700" w:type="dxa"/>
          </w:tcPr>
          <w:p>
            <w:pPr>
              <w:spacing w:before="0" w:after="0" w:line="240" w:lineRule="auto"/>
              <w:widowControl/>
            </w:pPr>
            <w:r>
              <w:rPr>
                <w:rFonts w:ascii="Arial" w:hAnsi="Arial"/>
                <w:sz w:val="17"/>
                <w:color w:val="142D45"/>
              </w:rPr>
              <w:t xml:space="preserve">S5</w:t>
            </w:r>
          </w:p>
        </w:tc>
        <w:tc>
          <w:tcPr>
            <w:tcW w:w="5840" w:type="dxa"/>
          </w:tcPr>
          <w:p>
            <w:pPr>
              <w:spacing w:before="0" w:after="0" w:line="240" w:lineRule="auto"/>
              <w:widowControl/>
            </w:pPr>
            <w:r>
              <w:rPr>
                <w:rFonts w:ascii="Arial" w:hAnsi="Arial"/>
                <w:sz w:val="17"/>
                <w:color w:val="142D45"/>
              </w:rPr>
              <w:t xml:space="preserve">dashboard/demand.py</w:t>
            </w:r>
          </w:p>
        </w:tc>
        <w:tc>
          <w:tcPr>
            <w:tcW w:w="3360" w:type="dxa"/>
          </w:tcPr>
          <w:p>
            <w:pPr>
              <w:spacing w:before="0" w:after="0" w:line="240" w:lineRule="auto"/>
              <w:widowControl/>
            </w:pPr>
            <w:r>
              <w:rPr>
                <w:rFonts w:ascii="Arial" w:hAnsi="Arial"/>
                <w:sz w:val="17"/>
                <w:color w:val="142D45"/>
              </w:rPr>
              <w:t xml:space="preserve">Implemented seven-day seasonal baseline and hourly aggregation</w:t>
            </w:r>
          </w:p>
        </w:tc>
      </w:tr>
      <w:tr>
        <w:trPr>
          <w:cantSplit/>
        </w:trPr>
        <w:tc>
          <w:tcPr>
            <w:tcW w:w="700" w:type="dxa"/>
          </w:tcPr>
          <w:p>
            <w:pPr>
              <w:spacing w:before="0" w:after="0" w:line="240" w:lineRule="auto"/>
              <w:widowControl/>
            </w:pPr>
            <w:r>
              <w:rPr>
                <w:rFonts w:ascii="Arial" w:hAnsi="Arial"/>
                <w:sz w:val="17"/>
                <w:color w:val="142D45"/>
              </w:rPr>
              <w:t xml:space="preserve">S6</w:t>
            </w:r>
          </w:p>
        </w:tc>
        <w:tc>
          <w:tcPr>
            <w:tcW w:w="5840" w:type="dxa"/>
          </w:tcPr>
          <w:p>
            <w:pPr>
              <w:spacing w:before="0" w:after="0" w:line="240" w:lineRule="auto"/>
              <w:widowControl/>
            </w:pPr>
            <w:r>
              <w:rPr>
                <w:rFonts w:ascii="Arial" w:hAnsi="Arial"/>
                <w:sz w:val="17"/>
                <w:color w:val="142D45"/>
              </w:rPr>
              <w:t xml:space="preserve">src/analytics/flow_clustering.py; reports/clustering_metrics.json; zone_clusters.csv; daypart_od_flows.csv; notebooks/06_hotspot_od_analysis.ipynb</w:t>
            </w:r>
          </w:p>
        </w:tc>
        <w:tc>
          <w:tcPr>
            <w:tcW w:w="3360" w:type="dxa"/>
          </w:tcPr>
          <w:p>
            <w:pPr>
              <w:spacing w:before="0" w:after="0" w:line="240" w:lineRule="auto"/>
              <w:widowControl/>
            </w:pPr>
            <w:r>
              <w:rPr>
                <w:rFonts w:ascii="Arial" w:hAnsi="Arial"/>
                <w:sz w:val="17"/>
                <w:color w:val="142D45"/>
              </w:rPr>
              <w:t xml:space="preserve">Clustering methods, taxonomy, diagnostics and outputs</w:t>
            </w:r>
          </w:p>
        </w:tc>
      </w:tr>
      <w:tr>
        <w:trPr>
          <w:cantSplit/>
        </w:trPr>
        <w:tc>
          <w:tcPr>
            <w:tcW w:w="700" w:type="dxa"/>
          </w:tcPr>
          <w:p>
            <w:pPr>
              <w:spacing w:before="0" w:after="0" w:line="240" w:lineRule="auto"/>
              <w:widowControl/>
            </w:pPr>
            <w:r>
              <w:rPr>
                <w:rFonts w:ascii="Arial" w:hAnsi="Arial"/>
                <w:sz w:val="17"/>
                <w:color w:val="142D45"/>
              </w:rPr>
              <w:t xml:space="preserve">S7</w:t>
            </w:r>
          </w:p>
        </w:tc>
        <w:tc>
          <w:tcPr>
            <w:tcW w:w="5840" w:type="dxa"/>
          </w:tcPr>
          <w:p>
            <w:pPr>
              <w:spacing w:before="0" w:after="0" w:line="240" w:lineRule="auto"/>
              <w:widowControl/>
            </w:pPr>
            <w:r>
              <w:rPr>
                <w:rFonts w:ascii="Arial" w:hAnsi="Arial"/>
                <w:sz w:val="17"/>
                <w:color w:val="142D45"/>
              </w:rPr>
              <w:t xml:space="preserve">src/assistant/; config/mobility_schema.yaml; tests/assistant/</w:t>
            </w:r>
          </w:p>
        </w:tc>
        <w:tc>
          <w:tcPr>
            <w:tcW w:w="3360" w:type="dxa"/>
          </w:tcPr>
          <w:p>
            <w:pPr>
              <w:spacing w:before="0" w:after="0" w:line="240" w:lineRule="auto"/>
              <w:widowControl/>
            </w:pPr>
            <w:r>
              <w:rPr>
                <w:rFonts w:ascii="Arial" w:hAnsi="Arial"/>
                <w:sz w:val="17"/>
                <w:color w:val="142D45"/>
              </w:rPr>
              <w:t xml:space="preserve">Structured query architecture and available test coverage</w:t>
            </w:r>
          </w:p>
        </w:tc>
      </w:tr>
      <w:tr>
        <w:trPr>
          <w:cantSplit/>
        </w:trPr>
        <w:tc>
          <w:tcPr>
            <w:tcW w:w="700" w:type="dxa"/>
          </w:tcPr>
          <w:p>
            <w:pPr>
              <w:spacing w:before="0" w:after="0" w:line="240" w:lineRule="auto"/>
              <w:widowControl/>
            </w:pPr>
            <w:r>
              <w:rPr>
                <w:rFonts w:ascii="Arial" w:hAnsi="Arial"/>
                <w:sz w:val="17"/>
                <w:color w:val="142D45"/>
              </w:rPr>
              <w:t xml:space="preserve">S8</w:t>
            </w:r>
          </w:p>
        </w:tc>
        <w:tc>
          <w:tcPr>
            <w:tcW w:w="5840" w:type="dxa"/>
          </w:tcPr>
          <w:p>
            <w:pPr>
              <w:spacing w:before="0" w:after="0" w:line="240" w:lineRule="auto"/>
              <w:widowControl/>
            </w:pPr>
            <w:r>
              <w:rPr>
                <w:rFonts w:ascii="Arial" w:hAnsi="Arial"/>
                <w:sz w:val="17"/>
                <w:color w:val="142D45"/>
              </w:rPr>
              <w:t xml:space="preserve">src/analytics/business_analytics.py; reports/business_kpis.json; payment_tip_summary.csv; revenue_velocity.csv; deadhead_corridors.csv</w:t>
            </w:r>
          </w:p>
        </w:tc>
        <w:tc>
          <w:tcPr>
            <w:tcW w:w="3360" w:type="dxa"/>
          </w:tcPr>
          <w:p>
            <w:pPr>
              <w:spacing w:before="0" w:after="0" w:line="240" w:lineRule="auto"/>
              <w:widowControl/>
            </w:pPr>
            <w:r>
              <w:rPr>
                <w:rFonts w:ascii="Arial" w:hAnsi="Arial"/>
                <w:sz w:val="17"/>
                <w:color w:val="142D45"/>
              </w:rPr>
              <w:t xml:space="preserve">Business data scope, assumptions and scenario calculations</w:t>
            </w:r>
          </w:p>
        </w:tc>
      </w:tr>
      <w:tr>
        <w:trPr>
          <w:cantSplit/>
        </w:trPr>
        <w:tc>
          <w:tcPr>
            <w:tcW w:w="700" w:type="dxa"/>
          </w:tcPr>
          <w:p>
            <w:pPr>
              <w:spacing w:before="0" w:after="0" w:line="240" w:lineRule="auto"/>
              <w:widowControl/>
            </w:pPr>
            <w:r>
              <w:rPr>
                <w:rFonts w:ascii="Arial" w:hAnsi="Arial"/>
                <w:sz w:val="17"/>
                <w:color w:val="142D45"/>
              </w:rPr>
              <w:t xml:space="preserve">S9</w:t>
            </w:r>
          </w:p>
        </w:tc>
        <w:tc>
          <w:tcPr>
            <w:tcW w:w="5840" w:type="dxa"/>
          </w:tcPr>
          <w:p>
            <w:pPr>
              <w:spacing w:before="0" w:after="0" w:line="240" w:lineRule="auto"/>
              <w:widowControl/>
            </w:pPr>
            <w:r>
              <w:rPr>
                <w:rFonts w:ascii="Arial" w:hAnsi="Arial"/>
                <w:sz w:val="17"/>
                <w:color w:val="142D45"/>
              </w:rPr>
              <w:t xml:space="preserve">dashboard/app.py; requirements.txt; models/</w:t>
            </w:r>
          </w:p>
        </w:tc>
        <w:tc>
          <w:tcPr>
            <w:tcW w:w="3360" w:type="dxa"/>
          </w:tcPr>
          <w:p>
            <w:pPr>
              <w:spacing w:before="0" w:after="0" w:line="240" w:lineRule="auto"/>
              <w:widowControl/>
            </w:pPr>
            <w:r>
              <w:rPr>
                <w:rFonts w:ascii="Arial" w:hAnsi="Arial"/>
                <w:sz w:val="17"/>
                <w:color w:val="142D45"/>
              </w:rPr>
              <w:t xml:space="preserve">UI integration, runtime dependencies and local artifact presence</w:t>
            </w:r>
          </w:p>
        </w:tc>
      </w:tr>
      <w:tr>
        <w:trPr>
          <w:cantSplit/>
        </w:trPr>
        <w:tc>
          <w:tcPr>
            <w:tcW w:w="700" w:type="dxa"/>
          </w:tcPr>
          <w:p>
            <w:pPr>
              <w:spacing w:before="0" w:after="0" w:line="240" w:lineRule="auto"/>
              <w:widowControl/>
            </w:pPr>
            <w:r>
              <w:rPr>
                <w:rFonts w:ascii="Arial" w:hAnsi="Arial"/>
                <w:sz w:val="17"/>
                <w:color w:val="142D45"/>
              </w:rPr>
              <w:t xml:space="preserve">S10</w:t>
            </w:r>
          </w:p>
        </w:tc>
        <w:tc>
          <w:tcPr>
            <w:tcW w:w="5840" w:type="dxa"/>
          </w:tcPr>
          <w:p>
            <w:pPr>
              <w:spacing w:before="0" w:after="0" w:line="240" w:lineRule="auto"/>
              <w:widowControl/>
            </w:pPr>
            <w:r>
              <w:rPr>
                <w:rFonts w:ascii="Arial" w:hAnsi="Arial"/>
                <w:sz w:val="17"/>
                <w:color w:val="142D45"/>
              </w:rPr>
              <w:t xml:space="preserve">Fresh checks performed 11 September 2026; reports/technical_report_checks.json</w:t>
            </w:r>
          </w:p>
        </w:tc>
        <w:tc>
          <w:tcPr>
            <w:tcW w:w="3360" w:type="dxa"/>
          </w:tcPr>
          <w:p>
            <w:pPr>
              <w:spacing w:before="0" w:after="0" w:line="240" w:lineRule="auto"/>
              <w:widowControl/>
            </w:pPr>
            <w:r>
              <w:rPr>
                <w:rFonts w:ascii="Arial" w:hAnsi="Arial"/>
                <w:sz w:val="17"/>
                <w:color w:val="142D45"/>
              </w:rPr>
              <w:t xml:space="preserve">Parquet count/date audit and aggregate-demand backtest; recorded runtime checks</w:t>
            </w:r>
          </w:p>
        </w:tc>
      </w:tr>
    </w:tbl>
    <w:p>
      <w:pPr>
        <w:spacing w:before="0" w:after="0" w:line="200" w:lineRule="exact"/>
      </w:pPr>
    </w:p>
    <w:p>
      <w:pPr>
        <w:spacing w:before="0" w:after="70" w:line="270" w:lineRule="auto"/>
        <w:widowControl/>
      </w:pPr>
      <w:r>
        <w:rPr>
          <w:rFonts w:ascii="Arial" w:hAnsi="Arial"/>
          <w:sz w:val="16"/>
          <w:color w:val="142D45"/>
          <w:b/>
        </w:rPr>
        <w:t xml:space="preserve">Report build:</w:t>
      </w:r>
      <w:r>
        <w:rPr>
          <w:rFonts w:ascii="Arial" w:hAnsi="Arial"/>
          <w:sz w:val="16"/>
          <w:color w:val="142D45"/>
        </w:rPr>
        <w:t xml:space="preserve"> .venv/Scripts/python.exe reports/build_technical_report.py</w:t>
      </w:r>
      <w:r>
        <w:br/>
      </w:r>
      <w:r>
        <w:rPr>
          <w:rFonts w:ascii="Arial" w:hAnsi="Arial"/>
          <w:sz w:val="16"/>
          <w:color w:val="142D45"/>
          <w:b/>
        </w:rPr>
        <w:t xml:space="preserve">App:</w:t>
      </w:r>
      <w:r>
        <w:rPr>
          <w:rFonts w:ascii="Arial" w:hAnsi="Arial"/>
          <w:sz w:val="16"/>
          <w:color w:val="142D45"/>
        </w:rPr>
        <w:t xml:space="preserve"> .venv/Scripts/python.exe -m streamlit run dashboard/app.py</w:t>
      </w:r>
      <w:r>
        <w:br/>
      </w:r>
      <w:r>
        <w:rPr>
          <w:rFonts w:ascii="Arial" w:hAnsi="Arial"/>
          <w:sz w:val="16"/>
          <w:color w:val="142D45"/>
          <w:b/>
        </w:rPr>
        <w:t xml:space="preserve">Training:</w:t>
      </w:r>
      <w:r>
        <w:rPr>
          <w:rFonts w:ascii="Arial" w:hAnsi="Arial"/>
          <w:sz w:val="16"/>
          <w:color w:val="142D45"/>
        </w:rPr>
        <w:t xml:space="preserve"> use the documented preparation and training modules after resolving the reproducibility issues on page 13. Reproduction commands are not evidence that a complete training rerun has already passed.</w:t>
      </w:r>
    </w:p>
    <w:p>
      <w:pPr>
        <w:spacing w:before="0" w:after="70" w:line="270" w:lineRule="auto"/>
        <w:widowControl/>
      </w:pPr>
      <w:r>
        <w:rPr>
          <w:rFonts w:ascii="Arial" w:hAnsi="Arial"/>
          <w:sz w:val="16"/>
          <w:color w:val="142D45"/>
        </w:rPr>
        <w:t xml:space="preserve">Prepared for Team DataCraft · Datathon 2026 · Report date: 11 September 2026</w:t>
      </w:r>
    </w:p>
    <w:sectPr>
      <w:footerReference w:type="default" r:id="rIdFooter"/>
      <w:pgSz w:w="11906" w:h="16838"/>
      <w:pgMar w:top="900" w:right="1000" w:bottom="1100" w:left="1000" w:header="400" w:footer="450" w:gutter="0"/>
    </w:sectPr>
  </w:body>
</w:document>
</file>

<file path=word/footer1.xml><?xml version="1.0" encoding="utf-8"?>
<w:ftr xmlns:w="http://schemas.openxmlformats.org/wordprocessingml/2006/main">
  <w:p>
    <w:pPr>
      <w:spacing w:before="0" w:after="70" w:line="270" w:lineRule="auto"/>
      <w:widowControl/>
    </w:pPr>
    <w:r>
      <w:rPr>
        <w:rFonts w:ascii="Arial" w:hAnsi="Arial"/>
        <w:sz w:val="16"/>
        <w:color w:val="142D45"/>
      </w:rPr>
      <w:t xml:space="preserve">DATACRAFT / URBANFLOW / TECHNICAL REPORT  ·  </w:t>
    </w:r>
    <w:fldSimple w:instr="PAGE">
      <w:r>
        <w:t>1</w:t>
      </w:r>
    </w:fldSimple>
  </w:p>
</w:ftr>
</file>

<file path=word/_rels/document.xml.rels><Relationships xmlns="http://schemas.openxmlformats.org/package/2006/relationships"><Relationship Id="rIdImage" Type="http://schemas.openxmlformats.org/officeDocument/2006/relationships/image" Target="media/architecture.png"/><Relationship Id="rIdFooter" Type="http://schemas.openxmlformats.org/officeDocument/2006/relationships/footer" Target="footer1.xml"/></Relationships>
</file>