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4.6331787109375" w:firstLine="0"/>
        <w:jc w:val="right"/>
        <w:rPr>
          <w:rFonts w:ascii="Arial" w:cs="Arial" w:eastAsia="Arial" w:hAnsi="Arial"/>
          <w:b w:val="1"/>
          <w:bCs w:val="1"/>
          <w:i w:val="0"/>
          <w:iCs w:val="0"/>
          <w:smallCaps w:val="0"/>
          <w:strike w:val="0"/>
          <w:color w:val="182f48"/>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182f48"/>
          <w:sz w:val="34"/>
          <w:szCs w:val="34"/>
          <w:u w:val="none"/>
          <w:shd w:fill="auto" w:val="clear"/>
          <w:vertAlign w:val="baseline"/>
          <w:rtl w:val="0"/>
        </w:rPr>
        <w:t xml:space="preserve">Harborlight Battery Addendum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021484375" w:line="240" w:lineRule="auto"/>
        <w:ind w:left="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Record ID: HL-17-B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341796875" w:line="240" w:lineRule="auto"/>
        <w:ind w:left="18.799972534179688" w:right="0" w:firstLine="0"/>
        <w:jc w:val="left"/>
        <w:rPr>
          <w:rFonts w:ascii="Arial" w:cs="Arial" w:eastAsia="Arial" w:hAnsi="Arial"/>
          <w:b w:val="1"/>
          <w:bCs w:val="1"/>
          <w:i w:val="0"/>
          <w:iCs w:val="0"/>
          <w:smallCaps w:val="0"/>
          <w:strike w:val="0"/>
          <w:color w:val="182f48"/>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82f48"/>
          <w:sz w:val="20"/>
          <w:szCs w:val="20"/>
          <w:u w:val="none"/>
          <w:shd w:fill="auto" w:val="clear"/>
          <w:vertAlign w:val="baseline"/>
          <w:rtl w:val="0"/>
        </w:rPr>
        <w:t xml:space="preserve">Purpose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299.88000869750977" w:lineRule="auto"/>
        <w:ind w:left="2.0000457763671875" w:right="38.5974121093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12 kilowatt-hour battery was added to the Harborlight Library solar pilot at the Cedar Point Annex. It stores surplus energy from the solar panels for evening use. It is not intended to charge from the grid.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00439453125" w:line="240" w:lineRule="auto"/>
        <w:ind w:left="10.400009155273438" w:right="0" w:firstLine="0"/>
        <w:jc w:val="left"/>
        <w:rPr>
          <w:rFonts w:ascii="Arial" w:cs="Arial" w:eastAsia="Arial" w:hAnsi="Arial"/>
          <w:b w:val="1"/>
          <w:bCs w:val="1"/>
          <w:i w:val="0"/>
          <w:iCs w:val="0"/>
          <w:smallCaps w:val="0"/>
          <w:strike w:val="0"/>
          <w:color w:val="182f48"/>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82f48"/>
          <w:sz w:val="20"/>
          <w:szCs w:val="20"/>
          <w:u w:val="none"/>
          <w:shd w:fill="auto" w:val="clear"/>
          <w:vertAlign w:val="baseline"/>
          <w:rtl w:val="0"/>
        </w:rPr>
        <w:t xml:space="preserve">Commissioning and service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299.88000869750977" w:lineRule="auto"/>
        <w:ind w:left="11.399993896484375" w:right="126.4013671875" w:hanging="11.39999389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battery was commissioned on June 2, 2025. The operating plan estimates up to 3.5 hours of evening support under the pilot load. Blue Finch Energy will perform maintenance each October.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00439453125" w:line="240" w:lineRule="auto"/>
        <w:ind w:left="10.400009155273438" w:right="0" w:firstLine="0"/>
        <w:jc w:val="left"/>
        <w:rPr>
          <w:rFonts w:ascii="Arial" w:cs="Arial" w:eastAsia="Arial" w:hAnsi="Arial"/>
          <w:b w:val="1"/>
          <w:bCs w:val="1"/>
          <w:i w:val="0"/>
          <w:iCs w:val="0"/>
          <w:smallCaps w:val="0"/>
          <w:strike w:val="0"/>
          <w:color w:val="182f48"/>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82f48"/>
          <w:sz w:val="20"/>
          <w:szCs w:val="20"/>
          <w:u w:val="none"/>
          <w:shd w:fill="auto" w:val="clear"/>
          <w:vertAlign w:val="baseline"/>
          <w:rtl w:val="0"/>
        </w:rPr>
        <w:t xml:space="preserve">Cost and relationship to the solar pilot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12109375" w:line="299.87969398498535" w:lineRule="auto"/>
        <w:ind w:left="11.399993896484375" w:right="502.19970703125" w:hanging="11.39999389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battery purchase cost $8,100, separate from the $14,400 solar installation contract. The combined contracted equipment and installation amount is $22,500.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998291015625" w:line="240" w:lineRule="auto"/>
        <w:ind w:left="18.799972534179688" w:right="0" w:firstLine="0"/>
        <w:jc w:val="left"/>
        <w:rPr>
          <w:rFonts w:ascii="Arial" w:cs="Arial" w:eastAsia="Arial" w:hAnsi="Arial"/>
          <w:b w:val="1"/>
          <w:bCs w:val="1"/>
          <w:i w:val="0"/>
          <w:iCs w:val="0"/>
          <w:smallCaps w:val="0"/>
          <w:strike w:val="0"/>
          <w:color w:val="182f48"/>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82f48"/>
          <w:sz w:val="20"/>
          <w:szCs w:val="20"/>
          <w:u w:val="none"/>
          <w:shd w:fill="auto" w:val="clear"/>
          <w:vertAlign w:val="baseline"/>
          <w:rtl w:val="0"/>
        </w:rPr>
        <w:t xml:space="preserve">Interpretation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99.88000869750977" w:lineRule="auto"/>
        <w:ind w:left="19.199981689453125" w:right="0" w:hanging="19.1999816894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3.5-hour value is a planning estimate, not a guarantee of runtime. No final measured runtime is recorded in this addendum.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6998291015625" w:line="240" w:lineRule="auto"/>
        <w:ind w:left="0" w:right="496.2939453125" w:firstLine="0"/>
        <w:jc w:val="right"/>
        <w:rPr>
          <w:rFonts w:ascii="Arial" w:cs="Arial" w:eastAsia="Arial" w:hAnsi="Arial"/>
          <w:b w:val="0"/>
          <w:bCs w:val="0"/>
          <w:i w:val="0"/>
          <w:iCs w:val="0"/>
          <w:smallCaps w:val="0"/>
          <w:strike w:val="0"/>
          <w:color w:val="6474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4748b"/>
          <w:sz w:val="16"/>
          <w:szCs w:val="16"/>
          <w:u w:val="none"/>
          <w:shd w:fill="auto" w:val="clear"/>
          <w:vertAlign w:val="baseline"/>
          <w:rtl w:val="0"/>
        </w:rPr>
        <w:t xml:space="preserve">Fictional QA assessment fixture. All people, organizations, and measurements in this document are invented.</w:t>
      </w:r>
    </w:p>
    <w:sectPr>
      <w:pgSz w:h="15840" w:w="12240" w:orient="portrait"/>
      <w:pgMar w:bottom="7580.8001708984375" w:top="1099.200439453125" w:left="1156.3999938964844" w:right="1260.60302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