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i w:val="0"/>
          <w:color w:val="1B365D"/>
          <w:sz w:val="40"/>
        </w:rPr>
        <w:t>Experiment 1: Lab Setup Report</w:t>
      </w:r>
    </w:p>
    <w:p>
      <w:pPr>
        <w:spacing w:before="0" w:after="240" w:line="276" w:lineRule="auto"/>
      </w:pPr>
      <w:r>
        <w:rPr>
          <w:rFonts w:ascii="Arial" w:hAnsi="Arial"/>
          <w:b w:val="0"/>
          <w:i/>
          <w:color w:val="46505F"/>
          <w:sz w:val="24"/>
        </w:rPr>
        <w:t>VMware + Tsurugi Linux Forensic Environment Configuration</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Pr>
      <w:tblGrid>
        <w:gridCol w:w="4680"/>
        <w:gridCol w:w="4680"/>
      </w:tblGrid>
      <w:tr>
        <w:tc>
          <w:tcPr>
            <w:tcW w:type="dxa" w:w="4680"/>
            <w:shd w:fill="F8FAFC"/>
          </w:tcPr>
          <w:p>
            <w:pPr>
              <w:spacing w:before="80" w:after="80" w:line="276" w:lineRule="auto"/>
            </w:pPr>
            <w:r>
              <w:rPr>
                <w:rFonts w:ascii="Arial" w:hAnsi="Arial"/>
                <w:b/>
                <w:i w:val="0"/>
                <w:color w:val="1B365D"/>
                <w:sz w:val="20"/>
              </w:rPr>
              <w:t>Name:</w:t>
            </w:r>
            <w:r>
              <w:rPr>
                <w:rFonts w:ascii="Arial" w:hAnsi="Arial"/>
                <w:b w:val="0"/>
                <w:i w:val="0"/>
                <w:color w:val="212529"/>
                <w:sz w:val="20"/>
              </w:rPr>
              <w:t xml:space="preserve"> Sujal Wasnik</w:t>
            </w:r>
          </w:p>
        </w:tc>
        <w:tc>
          <w:tcPr>
            <w:tcW w:type="dxa" w:w="4680"/>
            <w:shd w:fill="F8FAFC"/>
          </w:tcPr>
          <w:p>
            <w:pPr>
              <w:spacing w:before="80" w:after="80" w:line="276" w:lineRule="auto"/>
            </w:pPr>
            <w:r>
              <w:rPr>
                <w:rFonts w:ascii="Arial" w:hAnsi="Arial"/>
                <w:b/>
                <w:i w:val="0"/>
                <w:color w:val="1B365D"/>
                <w:sz w:val="20"/>
              </w:rPr>
              <w:t>UID:</w:t>
            </w:r>
            <w:r>
              <w:rPr>
                <w:rFonts w:ascii="Arial" w:hAnsi="Arial"/>
                <w:b w:val="0"/>
                <w:i w:val="0"/>
                <w:color w:val="212529"/>
                <w:sz w:val="20"/>
              </w:rPr>
              <w:t xml:space="preserve"> 23015036</w:t>
            </w:r>
          </w:p>
        </w:tc>
      </w:tr>
      <w:tr>
        <w:tc>
          <w:tcPr>
            <w:tcW w:type="dxa" w:w="4680"/>
            <w:shd w:fill="F8FAFC"/>
          </w:tcPr>
          <w:p>
            <w:pPr>
              <w:spacing w:before="80" w:after="80" w:line="276" w:lineRule="auto"/>
            </w:pPr>
            <w:r>
              <w:rPr>
                <w:rFonts w:ascii="Arial" w:hAnsi="Arial"/>
                <w:b/>
                <w:i w:val="0"/>
                <w:color w:val="1B365D"/>
                <w:sz w:val="20"/>
              </w:rPr>
              <w:t>Course:</w:t>
            </w:r>
            <w:r>
              <w:rPr>
                <w:rFonts w:ascii="Arial" w:hAnsi="Arial"/>
                <w:b w:val="0"/>
                <w:i w:val="0"/>
                <w:color w:val="212529"/>
                <w:sz w:val="20"/>
              </w:rPr>
              <w:t xml:space="preserve"> Digital Forensics Lab</w:t>
            </w:r>
          </w:p>
        </w:tc>
        <w:tc>
          <w:tcPr>
            <w:tcW w:type="dxa" w:w="4680"/>
            <w:shd w:fill="F8FAFC"/>
          </w:tcPr>
          <w:p>
            <w:pPr>
              <w:spacing w:before="80" w:after="80" w:line="276" w:lineRule="auto"/>
            </w:pPr>
            <w:r>
              <w:rPr>
                <w:rFonts w:ascii="Arial" w:hAnsi="Arial"/>
                <w:b/>
                <w:i w:val="0"/>
                <w:color w:val="1B365D"/>
                <w:sz w:val="20"/>
              </w:rPr>
              <w:t>Experiment No.:</w:t>
            </w:r>
            <w:r>
              <w:rPr>
                <w:rFonts w:ascii="Arial" w:hAnsi="Arial"/>
                <w:b w:val="0"/>
                <w:i w:val="0"/>
                <w:color w:val="212529"/>
                <w:sz w:val="20"/>
              </w:rPr>
              <w:t xml:space="preserve"> 01</w:t>
            </w:r>
          </w:p>
        </w:tc>
      </w:tr>
    </w:tbl>
    <w:p/>
    <w:p>
      <w:pPr>
        <w:spacing w:before="240" w:after="80" w:line="276" w:lineRule="auto"/>
      </w:pPr>
      <w:r>
        <w:rPr>
          <w:rFonts w:ascii="Arial" w:hAnsi="Arial"/>
          <w:b/>
          <w:i w:val="0"/>
          <w:color w:val="1B365D"/>
          <w:sz w:val="28"/>
        </w:rPr>
        <w:t>1. Objective &amp; Setup Scope</w:t>
      </w:r>
    </w:p>
    <w:p>
      <w:pPr>
        <w:spacing w:before="0" w:after="160" w:line="276" w:lineRule="auto"/>
      </w:pPr>
      <w:r>
        <w:rPr>
          <w:rFonts w:ascii="Calibri" w:hAnsi="Calibri"/>
          <w:b w:val="0"/>
          <w:i w:val="0"/>
          <w:color w:val="212529"/>
          <w:sz w:val="22"/>
        </w:rPr>
        <w:t>The primary objective of this experiment was to configure and prepare a Tsurugi Linux virtual machine inside VMware for upcoming digital forensic practicals. The setup involved validating system functionality after boot, establishing a pristine restoration snapshot, and structuring a dedicated directory hierarchy for organized case file management.</w:t>
      </w:r>
    </w:p>
    <w:p>
      <w:pPr>
        <w:spacing w:before="280" w:after="80" w:line="276" w:lineRule="auto"/>
      </w:pPr>
      <w:r>
        <w:rPr>
          <w:rFonts w:ascii="Arial" w:hAnsi="Arial"/>
          <w:b/>
          <w:i w:val="0"/>
          <w:color w:val="1B365D"/>
          <w:sz w:val="28"/>
        </w:rPr>
        <w:t>2. Desktop Boot &amp; Verification</w:t>
      </w:r>
    </w:p>
    <w:p>
      <w:pPr>
        <w:spacing w:before="0" w:after="160" w:line="276" w:lineRule="auto"/>
      </w:pPr>
      <w:r>
        <w:rPr>
          <w:rFonts w:ascii="Calibri" w:hAnsi="Calibri"/>
          <w:b w:val="0"/>
          <w:i w:val="0"/>
          <w:color w:val="212529"/>
          <w:sz w:val="22"/>
        </w:rPr>
        <w:t xml:space="preserve">Following the initial launch in VMware, the Tsurugi Linux operating system successfully booted into the desktop interface. I verified system health by checking the top status bar, active system monitors, and pre-installed forensic tools. The terminal prompt confirmed the hostname as </w:t>
      </w:r>
      <w:r>
        <w:rPr>
          <w:rFonts w:ascii="Consolas" w:hAnsi="Consolas"/>
          <w:b w:val="0"/>
          <w:i w:val="0"/>
          <w:color w:val="1B365D"/>
          <w:sz w:val="21"/>
        </w:rPr>
        <w:t>tsurugi</w:t>
      </w:r>
      <w:r>
        <w:rPr>
          <w:rFonts w:ascii="Calibri" w:hAnsi="Calibri"/>
          <w:b w:val="0"/>
          <w:i w:val="0"/>
          <w:color w:val="212529"/>
          <w:sz w:val="22"/>
        </w:rPr>
        <w:t>, verifying that the virtual machine was active and operational prior to executing lab procedures.</w:t>
      </w:r>
    </w:p>
    <w:p>
      <w:pPr>
        <w:spacing w:before="120" w:after="40" w:line="276" w:lineRule="auto"/>
        <w:jc w:val="center"/>
      </w:pPr>
      <w:r>
        <w:drawing>
          <wp:inline xmlns:a="http://schemas.openxmlformats.org/drawingml/2006/main" xmlns:pic="http://schemas.openxmlformats.org/drawingml/2006/picture">
            <wp:extent cx="5303520" cy="3429610"/>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5303520" cy="3429610"/>
                    </a:xfrm>
                    <a:prstGeom prst="rect"/>
                  </pic:spPr>
                </pic:pic>
              </a:graphicData>
            </a:graphic>
          </wp:inline>
        </w:drawing>
      </w:r>
    </w:p>
    <w:p>
      <w:pPr>
        <w:spacing w:before="0" w:after="200" w:line="276" w:lineRule="auto"/>
        <w:jc w:val="center"/>
      </w:pPr>
      <w:r>
        <w:rPr>
          <w:rFonts w:ascii="Calibri" w:hAnsi="Calibri"/>
          <w:b w:val="0"/>
          <w:i/>
          <w:color w:val="46505F"/>
          <w:sz w:val="19"/>
        </w:rPr>
        <w:t>Figure 1: Tsurugi Linux desktop environment loaded successfully post-boot.</w:t>
      </w:r>
    </w:p>
    <w:p>
      <w:pPr>
        <w:spacing w:before="280" w:after="80" w:line="276" w:lineRule="auto"/>
      </w:pPr>
      <w:r>
        <w:rPr>
          <w:rFonts w:ascii="Arial" w:hAnsi="Arial"/>
          <w:b/>
          <w:i w:val="0"/>
          <w:color w:val="1B365D"/>
          <w:sz w:val="28"/>
        </w:rPr>
        <w:t>3. Baseline Snapshot Creation</w:t>
      </w:r>
    </w:p>
    <w:p>
      <w:pPr>
        <w:spacing w:before="0" w:after="160" w:line="276" w:lineRule="auto"/>
      </w:pPr>
      <w:r>
        <w:rPr>
          <w:rFonts w:ascii="Calibri" w:hAnsi="Calibri"/>
          <w:b w:val="0"/>
          <w:i w:val="0"/>
          <w:color w:val="212529"/>
          <w:sz w:val="22"/>
        </w:rPr>
        <w:t xml:space="preserve">To ensure forensic integrity and prevent irreversible system alterations during practical exercises, a clean snapshot was taken using VMware Snapshot Manager. Titled </w:t>
      </w:r>
      <w:r>
        <w:rPr>
          <w:rFonts w:ascii="Consolas" w:hAnsi="Consolas"/>
          <w:b/>
          <w:i w:val="0"/>
          <w:color w:val="1B365D"/>
          <w:sz w:val="21"/>
        </w:rPr>
        <w:t>BASELINE-CLEAN</w:t>
      </w:r>
      <w:r>
        <w:rPr>
          <w:rFonts w:ascii="Calibri" w:hAnsi="Calibri"/>
          <w:b w:val="0"/>
          <w:i w:val="0"/>
          <w:color w:val="212529"/>
          <w:sz w:val="22"/>
        </w:rPr>
        <w:t>, this restore point marks the current active state of the VM. If any artifacts, test files, or system changes accumulate during future practicals, the environment can easily be rolled back to this baseline condition.</w:t>
      </w:r>
    </w:p>
    <w:p>
      <w:pPr>
        <w:spacing w:before="120" w:after="40" w:line="276" w:lineRule="auto"/>
        <w:jc w:val="center"/>
      </w:pPr>
      <w:r>
        <w:drawing>
          <wp:inline xmlns:a="http://schemas.openxmlformats.org/drawingml/2006/main" xmlns:pic="http://schemas.openxmlformats.org/drawingml/2006/picture">
            <wp:extent cx="5303520" cy="3000908"/>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5303520" cy="3000908"/>
                    </a:xfrm>
                    <a:prstGeom prst="rect"/>
                  </pic:spPr>
                </pic:pic>
              </a:graphicData>
            </a:graphic>
          </wp:inline>
        </w:drawing>
      </w:r>
    </w:p>
    <w:p>
      <w:pPr>
        <w:spacing w:before="0" w:after="200" w:line="276" w:lineRule="auto"/>
        <w:jc w:val="center"/>
      </w:pPr>
      <w:r>
        <w:rPr>
          <w:rFonts w:ascii="Calibri" w:hAnsi="Calibri"/>
          <w:b w:val="0"/>
          <w:i/>
          <w:color w:val="46505F"/>
          <w:sz w:val="19"/>
        </w:rPr>
        <w:t>Figure 2: VMware Snapshot Manager reflecting the saved BASELINE-CLEAN state.</w:t>
      </w:r>
    </w:p>
    <w:p>
      <w:pPr>
        <w:spacing w:before="280" w:after="80" w:line="276" w:lineRule="auto"/>
      </w:pPr>
      <w:r>
        <w:rPr>
          <w:rFonts w:ascii="Arial" w:hAnsi="Arial"/>
          <w:b/>
          <w:i w:val="0"/>
          <w:color w:val="1B365D"/>
          <w:sz w:val="28"/>
        </w:rPr>
        <w:t>4. Case Folder Hierarchy Setup</w:t>
      </w:r>
    </w:p>
    <w:p>
      <w:pPr>
        <w:spacing w:before="0" w:after="160" w:line="276" w:lineRule="auto"/>
      </w:pPr>
      <w:r>
        <w:rPr>
          <w:rFonts w:ascii="Calibri" w:hAnsi="Calibri"/>
          <w:b w:val="0"/>
          <w:i w:val="0"/>
          <w:color w:val="212529"/>
          <w:sz w:val="22"/>
        </w:rPr>
        <w:t xml:space="preserve">A structured workspace was initialized to manage digital evidence and practical submissions efficiently. Using the terminal, I created a root directory named </w:t>
      </w:r>
      <w:r>
        <w:rPr>
          <w:rFonts w:ascii="Consolas" w:hAnsi="Consolas"/>
          <w:b w:val="0"/>
          <w:i w:val="0"/>
          <w:color w:val="1B365D"/>
          <w:sz w:val="21"/>
        </w:rPr>
        <w:t>Forensics_Case</w:t>
      </w:r>
      <w:r>
        <w:rPr>
          <w:rFonts w:ascii="Calibri" w:hAnsi="Calibri"/>
          <w:b w:val="0"/>
          <w:i w:val="0"/>
          <w:color w:val="212529"/>
          <w:sz w:val="22"/>
        </w:rPr>
        <w:t xml:space="preserve"> containing subfolders </w:t>
      </w:r>
      <w:r>
        <w:rPr>
          <w:rFonts w:ascii="Consolas" w:hAnsi="Consolas"/>
          <w:b w:val="0"/>
          <w:i w:val="0"/>
          <w:color w:val="1B365D"/>
          <w:sz w:val="21"/>
        </w:rPr>
        <w:t>Exp1</w:t>
      </w:r>
      <w:r>
        <w:rPr>
          <w:rFonts w:ascii="Calibri" w:hAnsi="Calibri"/>
          <w:b w:val="0"/>
          <w:i w:val="0"/>
          <w:color w:val="212529"/>
          <w:sz w:val="22"/>
        </w:rPr>
        <w:t xml:space="preserve"> through </w:t>
      </w:r>
      <w:r>
        <w:rPr>
          <w:rFonts w:ascii="Consolas" w:hAnsi="Consolas"/>
          <w:b w:val="0"/>
          <w:i w:val="0"/>
          <w:color w:val="1B365D"/>
          <w:sz w:val="21"/>
        </w:rPr>
        <w:t>Exp9</w:t>
      </w:r>
      <w:r>
        <w:rPr>
          <w:rFonts w:ascii="Calibri" w:hAnsi="Calibri"/>
          <w:b w:val="0"/>
          <w:i w:val="0"/>
          <w:color w:val="212529"/>
          <w:sz w:val="22"/>
        </w:rPr>
        <w:t>. Terminal output confirmed that all nine folders were successfully created. Segregating files into distinct experiment folders prevents evidence cross-contamination and simplifies overall case management.</w:t>
      </w:r>
    </w:p>
    <w:p>
      <w:pPr>
        <w:spacing w:before="120" w:after="40" w:line="276" w:lineRule="auto"/>
        <w:jc w:val="center"/>
      </w:pPr>
      <w:r>
        <w:drawing>
          <wp:inline xmlns:a="http://schemas.openxmlformats.org/drawingml/2006/main" xmlns:pic="http://schemas.openxmlformats.org/drawingml/2006/picture">
            <wp:extent cx="4572000" cy="3127316"/>
            <wp:docPr id="3" name="Picture 3"/>
            <wp:cNvGraphicFramePr>
              <a:graphicFrameLocks noChangeAspect="1"/>
            </wp:cNvGraphicFramePr>
            <a:graphic>
              <a:graphicData uri="http://schemas.openxmlformats.org/drawingml/2006/picture">
                <pic:pic>
                  <pic:nvPicPr>
                    <pic:cNvPr id="0" name="image3.jpg"/>
                    <pic:cNvPicPr/>
                  </pic:nvPicPr>
                  <pic:blipFill>
                    <a:blip r:embed="rId11"/>
                    <a:stretch>
                      <a:fillRect/>
                    </a:stretch>
                  </pic:blipFill>
                  <pic:spPr>
                    <a:xfrm>
                      <a:off x="0" y="0"/>
                      <a:ext cx="4572000" cy="3127316"/>
                    </a:xfrm>
                    <a:prstGeom prst="rect"/>
                  </pic:spPr>
                </pic:pic>
              </a:graphicData>
            </a:graphic>
          </wp:inline>
        </w:drawing>
      </w:r>
    </w:p>
    <w:p>
      <w:pPr>
        <w:spacing w:before="0" w:after="200" w:line="276" w:lineRule="auto"/>
        <w:jc w:val="center"/>
      </w:pPr>
      <w:r>
        <w:rPr>
          <w:rFonts w:ascii="Calibri" w:hAnsi="Calibri"/>
          <w:b w:val="0"/>
          <w:i/>
          <w:color w:val="46505F"/>
          <w:sz w:val="19"/>
        </w:rPr>
        <w:t>Figure 3: Terminal window confirming creation of Forensics_Case subdirectories.</w:t>
      </w:r>
    </w:p>
    <w:p>
      <w:pPr>
        <w:spacing w:before="280" w:after="80" w:line="276" w:lineRule="auto"/>
      </w:pPr>
      <w:r>
        <w:rPr>
          <w:rFonts w:ascii="Arial" w:hAnsi="Arial"/>
          <w:b/>
          <w:i w:val="0"/>
          <w:color w:val="1B365D"/>
          <w:sz w:val="28"/>
        </w:rPr>
        <w:t>5. Conclusion</w:t>
      </w:r>
    </w:p>
    <w:p>
      <w:pPr>
        <w:spacing w:before="0" w:after="160" w:line="276" w:lineRule="auto"/>
      </w:pPr>
      <w:r>
        <w:rPr>
          <w:rFonts w:ascii="Calibri" w:hAnsi="Calibri"/>
          <w:b w:val="0"/>
          <w:i w:val="0"/>
          <w:color w:val="212529"/>
          <w:sz w:val="22"/>
        </w:rPr>
        <w:t>The setup process for the Tsurugi Linux forensic laboratory was completed smoothly. Boot stability was verified, system restoration points were preserved via VMware snapshots, and a dedicated multi-directory case environment was established. The virtual machine is now fully prepared for subsequent forensic investigations and tool execution.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