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04 Toxic Environment Escape Professional Tone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[Date – 2 weeks or immediate if hostile].</w:t>
      </w:r>
    </w:p>
    <w:p>
      <w:r>
        <w:rPr>
          <w:rFonts w:ascii="Calibri" w:hAnsi="Calibri"/>
          <w:sz w:val="22"/>
        </w:rPr>
        <w:t>After careful consideration, I have determined that this role is no longer aligned with my professional goals and values.</w:t>
      </w:r>
    </w:p>
    <w:p>
      <w:r>
        <w:rPr>
          <w:rFonts w:ascii="Calibri" w:hAnsi="Calibri"/>
          <w:sz w:val="22"/>
        </w:rPr>
        <w:t>I will complete [minimal handoff: document processes, finish critical task] by [Last Day]. Please let me know if there are specific transition priorities.</w:t>
      </w:r>
    </w:p>
    <w:p>
      <w:r>
        <w:rPr>
          <w:rFonts w:ascii="Calibri" w:hAnsi="Calibri"/>
          <w:sz w:val="22"/>
        </w:rPr>
        <w:t>Thank you for the opportunity.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Keep it SHORT (toxic environments don't deserve detailed explanations)</w:t>
        <w:br/>
        <w:t>- NEUTRAL tone (no accusations—HR will try to use emotion against you)</w:t>
        <w:br/>
        <w:t>- DOCUMENT everything (emails, Slack messages, incidents—you may need them later)</w:t>
        <w:br/>
        <w:t>- CONSULT LAWYER if harassment/discrimination (this template is for "professional escape," not legal action)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