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CaraFamily — note interne (après le call)</w:t>
      </w:r>
    </w:p>
    <w:p>
      <w:r>
        <w:rPr>
          <w:i/>
        </w:rPr>
        <w:t>Document interne Templyo. Ne pas envoyer au prospect. Compagnon du PDF client Templyo-CaraFamily-Demo-Tarifs.pdf.</w:t>
      </w:r>
    </w:p>
    <w:p>
      <w:pPr>
        <w:pStyle w:val="Heading2"/>
      </w:pPr>
      <w:r>
        <w:t>Contexte</w:t>
      </w:r>
    </w:p>
    <w:p>
      <w:pPr>
        <w:pStyle w:val="ListBullet"/>
      </w:pPr>
      <w:r>
        <w:t>Prospect : groupe CaraFamily, 8 établissements</w:t>
      </w:r>
    </w:p>
    <w:p>
      <w:pPr>
        <w:pStyle w:val="ListBullet"/>
      </w:pPr>
      <w:r>
        <w:t>Présents : Zahia (RH) + la patronne (décisionnaire)</w:t>
      </w:r>
    </w:p>
    <w:p>
      <w:pPr>
        <w:pStyle w:val="ListBullet"/>
      </w:pPr>
      <w:r>
        <w:t>Ils partent de zéro — aucun outil en place</w:t>
      </w:r>
    </w:p>
    <w:p>
      <w:pPr>
        <w:pStyle w:val="Heading2"/>
      </w:pPr>
      <w:r>
        <w:t>Besoin exprimé</w:t>
      </w:r>
    </w:p>
    <w:p>
      <w:pPr>
        <w:pStyle w:val="ListNumber"/>
      </w:pPr>
      <w:r>
        <w:t>Priorité n°1 : outil RH complet (esprit Skello / Combo)</w:t>
      </w:r>
    </w:p>
    <w:p>
      <w:pPr>
        <w:pStyle w:val="ListNumber"/>
      </w:pPr>
      <w:r>
        <w:t>Centralisation des documents collaborateurs</w:t>
      </w:r>
    </w:p>
    <w:p>
      <w:pPr>
        <w:pStyle w:val="ListNumber"/>
      </w:pPr>
      <w:r>
        <w:t>Liste auto des documents à l’embauche</w:t>
      </w:r>
    </w:p>
    <w:p>
      <w:pPr>
        <w:pStyle w:val="ListNumber"/>
      </w:pPr>
      <w:r>
        <w:t>Signature électronique intégrée</w:t>
      </w:r>
    </w:p>
    <w:p>
      <w:pPr>
        <w:pStyle w:val="Heading2"/>
      </w:pPr>
      <w:r>
        <w:t>Où se situe Templyo</w:t>
      </w:r>
    </w:p>
    <w:p>
      <w:pPr>
        <w:pStyle w:val="ListBullet"/>
      </w:pPr>
      <w:r>
        <w:t>Couvre planning, disponibilités, pointage, masse salariale</w:t>
      </w:r>
    </w:p>
    <w:p>
      <w:pPr>
        <w:pStyle w:val="ListBullet"/>
      </w:pPr>
      <w:r>
        <w:t>Pas la brique documentaire / RH</w:t>
      </w:r>
    </w:p>
    <w:p>
      <w:pPr>
        <w:pStyle w:val="ListBullet"/>
      </w:pPr>
      <w:r>
        <w:t>Signature électronique : absente du produit</w:t>
      </w:r>
    </w:p>
    <w:p>
      <w:pPr>
        <w:pStyle w:val="ListBullet"/>
      </w:pPr>
      <w:r>
        <w:t>Sentiment live : la patronne a paru réservée — le besoin n°1 n’est pas couvert</w:t>
      </w:r>
    </w:p>
    <w:p>
      <w:pPr>
        <w:pStyle w:val="Heading2"/>
      </w:pPr>
      <w:r>
        <w:t>Signaux</w:t>
      </w:r>
    </w:p>
    <w:p>
      <w:pPr>
        <w:pStyle w:val="Heading3"/>
      </w:pPr>
      <w:r>
        <w:t>Positif</w:t>
      </w:r>
    </w:p>
    <w:p>
      <w:pPr>
        <w:pStyle w:val="ListBullet"/>
      </w:pPr>
      <w:r>
        <w:t>Acceptent de tester la démo</w:t>
      </w:r>
    </w:p>
    <w:p>
      <w:pPr>
        <w:pStyle w:val="ListBullet"/>
      </w:pPr>
      <w:r>
        <w:t>8 établissements = gros compte si ça matche</w:t>
      </w:r>
    </w:p>
    <w:p>
      <w:pPr>
        <w:pStyle w:val="ListBullet"/>
      </w:pPr>
      <w:r>
        <w:t>Profil structuré (API à terme, scaling)</w:t>
      </w:r>
    </w:p>
    <w:p>
      <w:pPr>
        <w:pStyle w:val="Heading3"/>
      </w:pPr>
      <w:r>
        <w:t>Négatif</w:t>
      </w:r>
    </w:p>
    <w:p>
      <w:pPr>
        <w:pStyle w:val="ListBullet"/>
      </w:pPr>
      <w:r>
        <w:t>Besoin n°1 non couvert</w:t>
      </w:r>
    </w:p>
    <w:p>
      <w:pPr>
        <w:pStyle w:val="ListBullet"/>
      </w:pPr>
      <w:r>
        <w:t>La décisionnaire elle-même est réservée</w:t>
      </w:r>
    </w:p>
    <w:p>
      <w:pPr>
        <w:pStyle w:val="Heading2"/>
      </w:pPr>
      <w:r>
        <w:t>Position Templyo</w:t>
      </w:r>
    </w:p>
    <w:p>
      <w:pPr>
        <w:pStyle w:val="ListBullet"/>
      </w:pPr>
      <w:r>
        <w:t>Module documentaire / signature : hors gamme cible actuelle (option possible plus tard)</w:t>
      </w:r>
    </w:p>
    <w:p>
      <w:pPr>
        <w:pStyle w:val="ListBullet"/>
      </w:pPr>
      <w:r>
        <w:t>CaraFamily = signal de positionnement : cibler des établissements qui ont déjà un outil (même Excel) à fiabiliser sur planning/pointage — pas des groupes qui cherchent une suite RH complète dès le départ</w:t>
      </w:r>
    </w:p>
    <w:p>
      <w:pPr>
        <w:pStyle w:val="Heading2"/>
      </w:pPr>
      <w:r>
        <w:t>Décision</w:t>
      </w:r>
    </w:p>
    <w:p>
      <w:pPr>
        <w:pStyle w:val="ListBullet"/>
      </w:pPr>
      <w:r>
        <w:t>Envoyer quand même le document (démo + tarifs) pour rester dans le radar</w:t>
      </w:r>
    </w:p>
    <w:p>
      <w:pPr>
        <w:pStyle w:val="ListBullet"/>
      </w:pPr>
      <w:r>
        <w:t>Pas de relance commerciale poussée derrière</w:t>
      </w:r>
    </w:p>
    <w:p>
      <w:pPr>
        <w:pStyle w:val="ListBullet"/>
      </w:pPr>
      <w:r>
        <w:t>Pas de mention API dans le document client (trop tôt)</w:t>
      </w:r>
    </w:p>
    <w:p>
      <w:pPr>
        <w:pStyle w:val="ListBullet"/>
      </w:pPr>
      <w:r>
        <w:t>CTA fin de document : retour par téléphone une fois le test effectué (07 85 75 87 55)</w:t>
      </w:r>
    </w:p>
    <w:p>
      <w:pPr>
        <w:pStyle w:val="Heading2"/>
      </w:pPr>
      <w:r>
        <w:t>Envoi client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</w:t>
            </w:r>
          </w:p>
        </w:tc>
        <w:tc>
          <w:tcPr>
            <w:tcW w:type="dxa" w:w="4320"/>
          </w:tcPr>
          <w:p>
            <w:r>
              <w:t>commercial/carafamily/Templyo-CaraFamily-Demo-Tarifs.pdf</w:t>
            </w:r>
          </w:p>
        </w:tc>
      </w:tr>
      <w:tr>
        <w:tc>
          <w:tcPr>
            <w:tcW w:type="dxa" w:w="4320"/>
          </w:tcPr>
          <w:p>
            <w:r>
              <w:t>URL démo</w:t>
            </w:r>
          </w:p>
        </w:tc>
        <w:tc>
          <w:tcPr>
            <w:tcW w:type="dxa" w:w="4320"/>
          </w:tcPr>
          <w:p>
            <w:r>
              <w:t>https://demo.templyo.fr</w:t>
            </w:r>
          </w:p>
        </w:tc>
      </w:tr>
      <w:tr>
        <w:tc>
          <w:tcPr>
            <w:tcW w:type="dxa" w:w="4320"/>
          </w:tcPr>
          <w:p>
            <w:r>
              <w:t>Guide navigateur</w:t>
            </w:r>
          </w:p>
        </w:tc>
        <w:tc>
          <w:tcPr>
            <w:tcW w:type="dxa" w:w="4320"/>
          </w:tcPr>
          <w:p>
            <w:r>
              <w:t>https://demo.templyo.fr/demo-guide.html</w:t>
            </w:r>
          </w:p>
        </w:tc>
      </w:tr>
      <w:tr>
        <w:tc>
          <w:tcPr>
            <w:tcW w:type="dxa" w:w="4320"/>
          </w:tcPr>
          <w:p>
            <w:r>
              <w:t>Mot de passe</w:t>
            </w:r>
          </w:p>
        </w:tc>
        <w:tc>
          <w:tcPr>
            <w:tcW w:type="dxa" w:w="4320"/>
          </w:tcPr>
          <w:p>
            <w:r>
              <w:t>transmis séparément (ne pas l’écrire dans le PDF)</w:t>
            </w:r>
          </w:p>
        </w:tc>
      </w:tr>
    </w:tbl>
    <w:p>
      <w:pPr>
        <w:pStyle w:val="Heading2"/>
      </w:pPr>
      <w:r>
        <w:t>Environnement démo propre</w:t>
      </w:r>
    </w:p>
    <w:p>
      <w:r>
        <w:t>cp .env.demo.example .env.demo  # puis MONGO_URI / SESSION_SECRET</w:t>
      </w:r>
    </w:p>
    <w:p>
      <w:r>
        <w:t>npm run demo:seed &amp;&amp; npm run demo:server  # http://localhost:3100</w:t>
      </w:r>
    </w:p>
    <w:p>
      <w:r>
        <w:t>Reseed le matin de l’envoi. OUTBOUND_ENABLED=false obligatoire.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