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067e0fb74e4059" /><Relationship Type="http://schemas.openxmlformats.org/package/2006/relationships/metadata/core-properties" Target="/docProps/core.xml" Id="Re6d7702314144850" /><Relationship Type="http://schemas.openxmlformats.org/officeDocument/2006/relationships/extended-properties" Target="/docProps/app.xml" Id="R88cf5c29ae0046ad" /><Relationship Type="http://schemas.openxmlformats.org/officeDocument/2006/relationships/custom-properties" Target="/docProps/custom.xml" Id="Rc454532d599d47d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b/>
          <w:sz w:val="56"/>
        </w:rPr>
        <w:t xml:space="preserve">Credit Card Portfolio Risk &amp; Delinquency Segmentation</w:t>
      </w:r>
    </w:p>
    <w:p w14:paraId="00100002" w14:textId="00100003">
      <w:pPr>
        <w:spacing w:after="160"/>
        <w:jc w:val="center"/>
      </w:pPr>
      <w:r>
        <w:rPr>
          <w:color w:val="57606A"/>
          <w:sz w:val="28"/>
        </w:rPr>
        <w:t xml:space="preserve">Professional Data Analytics &amp; Credit Risk Portfolio Project</w:t>
      </w:r>
    </w:p>
    <w:p w14:paraId="00100004" w14:textId="00100005">
      <w:pPr>
        <w:spacing w:after="120"/>
        <w:jc w:val="center"/>
      </w:pPr>
      <w:r>
        <w:rPr>
          <w:sz w:val="24"/>
        </w:rPr>
        <w:t xml:space="preserve">Author: Kishan Kannaujiya</w:t>
      </w:r>
    </w:p>
    <w:p w14:paraId="00100006" w14:textId="00100007">
      <w:pPr>
        <w:spacing w:after="120"/>
        <w:jc w:val="center"/>
      </w:pPr>
      <w:r>
        <w:rPr>
          <w:color w:val="57606A"/>
          <w:sz w:val="22"/>
        </w:rPr>
        <w:t xml:space="preserve">Dataset: UCI Default of Credit Card Clients (30,000 records)</w:t>
      </w:r>
    </w:p>
    <w:p w14:paraId="00100008" w14:textId="00100009">
      <w:pPr>
        <w:spacing w:after="120"/>
        <w:jc w:val="center"/>
      </w:pPr>
      <w:r>
        <w:rPr>
          <w:color w:val="57606A"/>
          <w:sz w:val="22"/>
        </w:rPr>
        <w:t xml:space="preserve">Tools: Python · Pandas · NumPy · Matplotlib · Seaborn · SciPy · SQL · Power BI · DAX</w:t>
      </w:r>
    </w:p>
    <w:p w14:paraId="0010000A" w14:textId="0010000B">
      <w:pPr>
        <w:spacing w:after="960"/>
        <w:jc w:val="center"/>
      </w:pPr>
      <w:r>
        <w:rPr>
          <w:color w:val="57606A"/>
          <w:sz w:val="20"/>
        </w:rPr>
        <w:t xml:space="preserve">Coverage: April–September 2005  |  Currency: New Taiwan Dollar (NT$)</w:t>
      </w:r>
    </w:p>
    <w:p w14:paraId="0010000C" w14:textId="0010000D">
      <w:pPr>
        <w:pStyle w:val="Heading1"/>
        <w:spacing w:before="240" w:after="160"/>
      </w:pPr>
      <w:r>
        <w:rPr>
          <w:b/>
          <w:sz w:val="36"/>
        </w:rPr>
        <w:t xml:space="preserve">1. Executive Summary</w:t>
      </w:r>
    </w:p>
    <w:p w14:paraId="0010000E" w14:textId="0010000F">
      <w:pPr>
        <w:spacing w:after="160"/>
      </w:pPr>
      <w:r>
        <w:rPr>
          <w:sz w:val="22"/>
        </w:rPr>
        <w:t xml:space="preserve">This report presents a comprehensive credit-card portfolio risk and delinquency segmentation analysis of 30,000 credit-card customers. Using the UCI Default of Credit Card Clients dataset, the project delivers a full analytical workflow — from data validation through feature engineering, exploratory data analysis, statistical hypothesis testing, transparent risk segmentation, SQL-based portfolio analysis, and an interactive Power BI dashboard specification — culminating in data-driven business recommendations for credit risk and collections teams.</w:t>
      </w:r>
    </w:p>
    <w:p w14:paraId="00100010" w14:textId="00100011">
      <w:pPr>
        <w:spacing w:after="160"/>
      </w:pPr>
      <w:r>
        <w:rPr>
          <w:sz w:val="22"/>
        </w:rPr>
        <w:t xml:space="preserve">The portfolio carries a 22.12% overall default rate across NT$5.02 billion in total credit exposure. Risk is highly concentrated: the High Risk segment (17.7% of customers) accounts for 46.0% of all defaults. Repayment-behavior variables — particularly the number of delayed months (r = +0.398) and most-recent payment status (PAY_0 = 2 → 69.1% default rate) — are the strongest and most actionable indicators of default risk identified in the dataset.</w:t>
      </w:r>
    </w:p>
    <w:p w14:paraId="00100012" w14:textId="00100013">
      <w:pPr>
        <w:spacing w:after="240"/>
      </w:pPr>
      <w:r>
        <w:rPr>
          <w:b/>
          <w:sz w:val="22"/>
        </w:rPr>
        <w:t xml:space="preserve">All findings are derived from the actual dataset. No results are fabricated or approximated.</w:t>
      </w:r>
    </w:p>
    <w:p w14:paraId="00100014" w14:textId="00100015">
      <w:pPr>
        <w:pStyle w:val="Heading1"/>
        <w:spacing w:before="240" w:after="160"/>
      </w:pPr>
      <w:r>
        <w:rPr>
          <w:b/>
          <w:sz w:val="36"/>
        </w:rPr>
        <w:t xml:space="preserve">2. Business Problem</w:t>
      </w:r>
    </w:p>
    <w:p w14:paraId="00100016" w14:textId="00100017">
      <w:pPr>
        <w:spacing w:after="160"/>
      </w:pPr>
      <w:r>
        <w:rPr>
          <w:sz w:val="22"/>
        </w:rPr>
        <w:t xml:space="preserve">A credit-card issuing bank holds a portfolio of 30,000 active cardholders. The bank's risk, collections, and portfolio-management teams need to understand where credit default risk is concentrated within the portfolio so that limited monitoring and intervention resources can be allocated efficiently.</w:t>
      </w:r>
    </w:p>
    <w:p w14:paraId="00100018" w14:textId="00100019">
      <w:pPr>
        <w:spacing w:after="120"/>
      </w:pPr>
      <w:r>
        <w:rPr>
          <w:sz w:val="22"/>
        </w:rPr>
        <w:t xml:space="preserve">Specifically, the business requires answers to the following questions:</w:t>
      </w:r>
    </w:p>
    <w:p w14:paraId="0010001A" w14:textId="0010001B">
      <w:pPr>
        <w:numPr>
          <w:ilvl w:val="0"/>
          <w:numId w:val="1"/>
        </w:numPr>
        <w:spacing w:after="60"/>
      </w:pPr>
      <w:r>
        <w:rPr>
          <w:sz w:val="22"/>
        </w:rPr>
        <w:t xml:space="preserve">• Which customer segments show disproportionately high default rates?</w:t>
      </w:r>
    </w:p>
    <w:p w14:paraId="0010001C" w14:textId="0010001D">
      <w:pPr>
        <w:numPr>
          <w:ilvl w:val="0"/>
          <w:numId w:val="1"/>
        </w:numPr>
        <w:spacing w:after="60"/>
      </w:pPr>
      <w:r>
        <w:rPr>
          <w:sz w:val="22"/>
        </w:rPr>
        <w:t xml:space="preserve">• How is credit exposure distributed across risk levels?</w:t>
      </w:r>
    </w:p>
    <w:p w14:paraId="0010001E" w14:textId="0010001F">
      <w:pPr>
        <w:numPr>
          <w:ilvl w:val="0"/>
          <w:numId w:val="1"/>
        </w:numPr>
        <w:spacing w:after="60"/>
      </w:pPr>
      <w:r>
        <w:rPr>
          <w:sz w:val="22"/>
        </w:rPr>
        <w:t xml:space="preserve">• Which repayment-behavior patterns reliably precede default?</w:t>
      </w:r>
    </w:p>
    <w:p w14:paraId="00100020" w14:textId="00100021">
      <w:pPr>
        <w:numPr>
          <w:ilvl w:val="0"/>
          <w:numId w:val="1"/>
        </w:numPr>
        <w:spacing w:after="60"/>
      </w:pPr>
      <w:r>
        <w:rPr>
          <w:sz w:val="22"/>
        </w:rPr>
        <w:t xml:space="preserve">• Are high-credit-limit customers lower risk than low-limit customers?</w:t>
      </w:r>
    </w:p>
    <w:p w14:paraId="00100022" w14:textId="00100023">
      <w:pPr>
        <w:numPr>
          <w:ilvl w:val="0"/>
          <w:numId w:val="1"/>
        </w:numPr>
        <w:spacing w:after="60"/>
      </w:pPr>
      <w:r>
        <w:rPr>
          <w:sz w:val="22"/>
        </w:rPr>
        <w:t xml:space="preserve">• How do billing and payment trends differ between defaulters and non-defaulters?</w:t>
      </w:r>
    </w:p>
    <w:p w14:paraId="00100024" w14:textId="00100025">
      <w:pPr>
        <w:numPr>
          <w:ilvl w:val="0"/>
          <w:numId w:val="1"/>
        </w:numPr>
        <w:spacing w:after="160"/>
      </w:pPr>
      <w:r>
        <w:rPr>
          <w:sz w:val="22"/>
        </w:rPr>
        <w:t xml:space="preserve">• Which customers should be flagged for proactive collections outreach?</w:t>
      </w:r>
    </w:p>
    <w:p w14:paraId="00100026" w14:textId="00100027">
      <w:pPr>
        <w:spacing w:after="240"/>
      </w:pPr>
      <w:r>
        <w:rPr>
          <w:sz w:val="22"/>
        </w:rPr>
        <w:t xml:space="preserve">This analysis matters to: Credit Risk teams (monitoring rules), Portfolio Management teams (exposure concentration), Collections teams (early-warning signals), Customer/Relationship teams (differentiated strategies), and Senior Management (capital allocation and policy decisions).</w:t>
      </w:r>
    </w:p>
    <w:p w14:paraId="00100028" w14:textId="00100029">
      <w:pPr>
        <w:pStyle w:val="Heading1"/>
        <w:spacing w:before="240" w:after="160"/>
      </w:pPr>
      <w:r>
        <w:rPr>
          <w:b/>
          <w:sz w:val="36"/>
        </w:rPr>
        <w:t xml:space="preserve">3. Project Objectives</w:t>
      </w:r>
    </w:p>
    <w:p w14:paraId="0010002A" w14:textId="0010002B">
      <w:pPr>
        <w:numPr>
          <w:ilvl w:val="0"/>
          <w:numId w:val="2"/>
        </w:numPr>
        <w:spacing w:after="60"/>
      </w:pPr>
      <w:r>
        <w:rPr>
          <w:sz w:val="22"/>
        </w:rPr>
        <w:t xml:space="preserve">1. Understand the overall credit-card portfolio composition and health.</w:t>
      </w:r>
    </w:p>
    <w:p w14:paraId="0010002C" w14:textId="0010002D">
      <w:pPr>
        <w:numPr>
          <w:ilvl w:val="0"/>
          <w:numId w:val="2"/>
        </w:numPr>
        <w:spacing w:after="60"/>
      </w:pPr>
      <w:r>
        <w:rPr>
          <w:sz w:val="22"/>
        </w:rPr>
        <w:t xml:space="preserve">2. Analyze customer demographics and credit-limit exposure.</w:t>
      </w:r>
    </w:p>
    <w:p w14:paraId="0010002E" w14:textId="0010002F">
      <w:pPr>
        <w:numPr>
          <w:ilvl w:val="0"/>
          <w:numId w:val="2"/>
        </w:numPr>
        <w:spacing w:after="60"/>
      </w:pPr>
      <w:r>
        <w:rPr>
          <w:sz w:val="22"/>
        </w:rPr>
        <w:t xml:space="preserve">3. Analyze six months of repayment-status data (April–September 2005).</w:t>
      </w:r>
    </w:p>
    <w:p w14:paraId="00100030" w14:textId="00100031">
      <w:pPr>
        <w:numPr>
          <w:ilvl w:val="0"/>
          <w:numId w:val="2"/>
        </w:numPr>
        <w:spacing w:after="60"/>
      </w:pPr>
      <w:r>
        <w:rPr>
          <w:sz w:val="22"/>
        </w:rPr>
        <w:t xml:space="preserve">4. Analyze billing and payment behavior across the portfolio.</w:t>
      </w:r>
    </w:p>
    <w:p w14:paraId="00100032" w14:textId="00100033">
      <w:pPr>
        <w:numPr>
          <w:ilvl w:val="0"/>
          <w:numId w:val="2"/>
        </w:numPr>
        <w:spacing w:after="60"/>
      </w:pPr>
      <w:r>
        <w:rPr>
          <w:sz w:val="22"/>
        </w:rPr>
        <w:t xml:space="preserve">5. Identify behavioral patterns statistically associated with default.</w:t>
      </w:r>
    </w:p>
    <w:p w14:paraId="00100034" w14:textId="00100035">
      <w:pPr>
        <w:numPr>
          <w:ilvl w:val="0"/>
          <w:numId w:val="2"/>
        </w:numPr>
        <w:spacing w:after="60"/>
      </w:pPr>
      <w:r>
        <w:rPr>
          <w:sz w:val="22"/>
        </w:rPr>
        <w:t xml:space="preserve">6. Calculate meaningful, interpretable risk-related KPIs.</w:t>
      </w:r>
    </w:p>
    <w:p w14:paraId="00100036" w14:textId="00100037">
      <w:pPr>
        <w:numPr>
          <w:ilvl w:val="0"/>
          <w:numId w:val="2"/>
        </w:numPr>
        <w:spacing w:after="60"/>
      </w:pPr>
      <w:r>
        <w:rPr>
          <w:sz w:val="22"/>
        </w:rPr>
        <w:t xml:space="preserve">7. Create a transparent, interpretable customer risk-segmentation framework.</w:t>
      </w:r>
    </w:p>
    <w:p w14:paraId="00100038" w14:textId="00100039">
      <w:pPr>
        <w:numPr>
          <w:ilvl w:val="0"/>
          <w:numId w:val="2"/>
        </w:numPr>
        <w:spacing w:after="60"/>
      </w:pPr>
      <w:r>
        <w:rPr>
          <w:sz w:val="22"/>
        </w:rPr>
        <w:t xml:space="preserve">8. Analyze default concentration and credit exposure across risk segments.</w:t>
      </w:r>
    </w:p>
    <w:p w14:paraId="0010003A" w14:textId="0010003B">
      <w:pPr>
        <w:numPr>
          <w:ilvl w:val="0"/>
          <w:numId w:val="2"/>
        </w:numPr>
        <w:spacing w:after="60"/>
      </w:pPr>
      <w:r>
        <w:rPr>
          <w:sz w:val="22"/>
        </w:rPr>
        <w:t xml:space="preserve">9. Support SQL-based portfolio analysis and an interactive Power BI dashboard.</w:t>
      </w:r>
    </w:p>
    <w:p w14:paraId="0010003C" w14:textId="0010003D">
      <w:pPr>
        <w:numPr>
          <w:ilvl w:val="0"/>
          <w:numId w:val="2"/>
        </w:numPr>
        <w:spacing w:after="240"/>
      </w:pPr>
      <w:r>
        <w:rPr>
          <w:sz w:val="22"/>
        </w:rPr>
        <w:t xml:space="preserve">10. Generate data-driven business insights and recommendations.</w:t>
      </w:r>
    </w:p>
    <w:p w14:paraId="0010003E" w14:textId="0010003F">
      <w:pPr>
        <w:pStyle w:val="Heading1"/>
        <w:spacing w:before="240" w:after="160"/>
      </w:pPr>
      <w:r>
        <w:rPr>
          <w:b/>
          <w:sz w:val="36"/>
        </w:rPr>
        <w:t xml:space="preserve">4. Dataset Description</w:t>
      </w:r>
    </w:p>
    <w:p w14:paraId="00100040" w14:textId="00100041">
      <w:pPr>
        <w:spacing w:after="160"/>
      </w:pPr>
      <w:r>
        <w:rPr>
          <w:sz w:val="22"/>
        </w:rPr>
        <w:t xml:space="preserve">The UCI Default of Credit Card Clients dataset contains 30,000 customer records from a Taiwanese credit-card issuer, covering the period April–September 2005. Each record captures one customer's demographics, credit limit, six months of repayment-status codes, six months of bill-statement amounts, six months of actual payment amounts, and a binary indicator of whether the customer defaulted on their October 2005 payment.</w:t>
      </w:r>
    </w:p>
    <w:p w14:paraId="00100042" w14:textId="00100043">
      <w:pPr>
        <w:spacing w:after="160"/>
      </w:pPr>
      <w:r>
        <w:rPr>
          <w:sz w:val="22"/>
        </w:rPr>
        <w:t xml:space="preserve">Verified dataset properties: 30,000 rows, 25 columns, 0 missing values, 0 duplicate rows, 30,000 unique customer IDs. Target distribution: 23,364 non-defaulters (77.88%) and 6,636 defaulters (22.12%).</w:t>
      </w:r>
    </w:p>
    <w:p w14:paraId="00100044" w14:textId="00100045">
      <w:pPr>
        <w:spacing w:after="240"/>
      </w:pPr>
      <w:r>
        <w:rPr>
          <w:b/>
          <w:color w:val="D9232D"/>
          <w:sz w:val="22"/>
        </w:rPr>
        <w:t xml:space="preserve">Note: The column PAY_1 is absent from this dataset. PAY_0 represents September 2005 and PAY_2 represents August 2005. This naming gap is a known characteristic of the original UCI dataset.</w:t>
      </w:r>
    </w:p>
    <w:p w14:paraId="00100046" w14:textId="00100047">
      <w:pPr>
        <w:pStyle w:val="Heading1"/>
        <w:spacing w:before="240" w:after="160"/>
      </w:pPr>
      <w:r>
        <w:rPr>
          <w:b/>
          <w:sz w:val="36"/>
        </w:rPr>
        <w:t xml:space="preserve">5. Data Dictionary</w:t>
      </w:r>
    </w:p>
    <w:p w14:paraId="00100048" w14:textId="00100049">
      <w:pPr>
        <w:spacing w:after="160"/>
      </w:pPr>
      <w:r>
        <w:rPr>
          <w:sz w:val="22"/>
        </w:rPr>
        <w:t xml:space="preserve">The following table describes all 25 original columns in the dataset: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4A" w14:textId="0010004B">
            <w:r>
              <w:t xml:space="preserve">Column Name</w:t>
            </w:r>
          </w:p>
        </w:tc>
        <w:tc>
          <w:p w14:paraId="0010004C" w14:textId="0010004D">
            <w:r>
              <w:t xml:space="preserve">Business Meaning</w:t>
            </w:r>
          </w:p>
        </w:tc>
        <w:tc>
          <w:p w14:paraId="0010004E" w14:textId="0010004F">
            <w:r>
              <w:t xml:space="preserve">Values / Range</w:t>
            </w:r>
          </w:p>
        </w:tc>
      </w:tr>
      <w:tr>
        <w:trPr/>
        <w:tc>
          <w:p w14:paraId="00100050" w14:textId="00100051">
            <w:r>
              <w:t xml:space="preserve">ID</w:t>
            </w:r>
          </w:p>
        </w:tc>
        <w:tc>
          <w:p w14:paraId="00100052" w14:textId="00100053">
            <w:r>
              <w:t xml:space="preserve">Unique customer identifier</w:t>
            </w:r>
          </w:p>
        </w:tc>
        <w:tc>
          <w:p w14:paraId="00100054" w14:textId="00100055">
            <w:r>
              <w:t xml:space="preserve">1 – 30,000</w:t>
            </w:r>
          </w:p>
        </w:tc>
      </w:tr>
      <w:tr>
        <w:trPr/>
        <w:tc>
          <w:p w14:paraId="00100056" w14:textId="00100057">
            <w:r>
              <w:t xml:space="preserve">LIMIT_BAL</w:t>
            </w:r>
          </w:p>
        </w:tc>
        <w:tc>
          <w:p w14:paraId="00100058" w14:textId="00100059">
            <w:r>
              <w:t xml:space="preserve">Approved credit limit (NT$)</w:t>
            </w:r>
          </w:p>
        </w:tc>
        <w:tc>
          <w:p w14:paraId="0010005A" w14:textId="0010005B">
            <w:r>
              <w:t xml:space="preserve">10,000 – 1,000,000</w:t>
            </w:r>
          </w:p>
        </w:tc>
      </w:tr>
      <w:tr>
        <w:trPr/>
        <w:tc>
          <w:p w14:paraId="0010005C" w14:textId="0010005D">
            <w:r>
              <w:t xml:space="preserve">SEX</w:t>
            </w:r>
          </w:p>
        </w:tc>
        <w:tc>
          <w:p w14:paraId="0010005E" w14:textId="0010005F">
            <w:r>
              <w:t xml:space="preserve">Gender</w:t>
            </w:r>
          </w:p>
        </w:tc>
        <w:tc>
          <w:p w14:paraId="00100060" w14:textId="00100061">
            <w:r>
              <w:t xml:space="preserve">1=Male, 2=Female</w:t>
            </w:r>
          </w:p>
        </w:tc>
      </w:tr>
      <w:tr>
        <w:trPr/>
        <w:tc>
          <w:p w14:paraId="00100062" w14:textId="00100063">
            <w:r>
              <w:t xml:space="preserve">EDUCATION</w:t>
            </w:r>
          </w:p>
        </w:tc>
        <w:tc>
          <w:p w14:paraId="00100064" w14:textId="00100065">
            <w:r>
              <w:t xml:space="preserve">Highest education level</w:t>
            </w:r>
          </w:p>
        </w:tc>
        <w:tc>
          <w:p w14:paraId="00100066" w14:textId="00100067">
            <w:r>
              <w:t xml:space="preserve">1=Graduate, 2=University, 3=High School, 4+=Other</w:t>
            </w:r>
          </w:p>
        </w:tc>
      </w:tr>
      <w:tr>
        <w:trPr/>
        <w:tc>
          <w:p w14:paraId="00100068" w14:textId="00100069">
            <w:r>
              <w:t xml:space="preserve">MARRIAGE</w:t>
            </w:r>
          </w:p>
        </w:tc>
        <w:tc>
          <w:p w14:paraId="0010006A" w14:textId="0010006B">
            <w:r>
              <w:t xml:space="preserve">Marital status</w:t>
            </w:r>
          </w:p>
        </w:tc>
        <w:tc>
          <w:p w14:paraId="0010006C" w14:textId="0010006D">
            <w:r>
              <w:t xml:space="preserve">1=Married, 2=Single, 3=Other</w:t>
            </w:r>
          </w:p>
        </w:tc>
      </w:tr>
      <w:tr>
        <w:trPr/>
        <w:tc>
          <w:p w14:paraId="0010006E" w14:textId="0010006F">
            <w:r>
              <w:t xml:space="preserve">AGE</w:t>
            </w:r>
          </w:p>
        </w:tc>
        <w:tc>
          <w:p w14:paraId="00100070" w14:textId="00100071">
            <w:r>
              <w:t xml:space="preserve">Customer age in years</w:t>
            </w:r>
          </w:p>
        </w:tc>
        <w:tc>
          <w:p w14:paraId="00100072" w14:textId="00100073">
            <w:r>
              <w:t xml:space="preserve">21 – 79</w:t>
            </w:r>
          </w:p>
        </w:tc>
      </w:tr>
      <w:tr>
        <w:trPr/>
        <w:tc>
          <w:p w14:paraId="00100074" w14:textId="00100075">
            <w:r>
              <w:t xml:space="preserve">PAY_0</w:t>
            </w:r>
          </w:p>
        </w:tc>
        <w:tc>
          <w:p w14:paraId="00100076" w14:textId="00100077">
            <w:r>
              <w:t xml:space="preserve">Repayment status September 2005 (most recent)</w:t>
            </w:r>
          </w:p>
        </w:tc>
        <w:tc>
          <w:p w14:paraId="00100078" w14:textId="00100079">
            <w:r>
              <w:t xml:space="preserve">-2=No consumption, -1=Paid in full, 0=Revolving, 1-8=Months delayed</w:t>
            </w:r>
          </w:p>
        </w:tc>
      </w:tr>
      <w:tr>
        <w:trPr/>
        <w:tc>
          <w:p w14:paraId="0010007A" w14:textId="0010007B">
            <w:r>
              <w:t xml:space="preserve">PAY_2</w:t>
            </w:r>
          </w:p>
        </w:tc>
        <w:tc>
          <w:p w14:paraId="0010007C" w14:textId="0010007D">
            <w:r>
              <w:t xml:space="preserve">Repayment status August 2005</w:t>
            </w:r>
          </w:p>
        </w:tc>
        <w:tc>
          <w:p w14:paraId="0010007E" w14:textId="0010007F">
            <w:r>
              <w:t xml:space="preserve">Same scale as PAY_0</w:t>
            </w:r>
          </w:p>
        </w:tc>
      </w:tr>
      <w:tr>
        <w:trPr/>
        <w:tc>
          <w:p w14:paraId="00100080" w14:textId="00100081">
            <w:r>
              <w:t xml:space="preserve">PAY_3</w:t>
            </w:r>
          </w:p>
        </w:tc>
        <w:tc>
          <w:p w14:paraId="00100082" w14:textId="00100083">
            <w:r>
              <w:t xml:space="preserve">Repayment status July 2005</w:t>
            </w:r>
          </w:p>
        </w:tc>
        <w:tc>
          <w:p w14:paraId="00100084" w14:textId="00100085">
            <w:r>
              <w:t xml:space="preserve">Same scale</w:t>
            </w:r>
          </w:p>
        </w:tc>
      </w:tr>
      <w:tr>
        <w:trPr/>
        <w:tc>
          <w:p w14:paraId="00100086" w14:textId="00100087">
            <w:r>
              <w:t xml:space="preserve">PAY_4</w:t>
            </w:r>
          </w:p>
        </w:tc>
        <w:tc>
          <w:p w14:paraId="00100088" w14:textId="00100089">
            <w:r>
              <w:t xml:space="preserve">Repayment status June 2005</w:t>
            </w:r>
          </w:p>
        </w:tc>
        <w:tc>
          <w:p w14:paraId="0010008A" w14:textId="0010008B">
            <w:r>
              <w:t xml:space="preserve">Same scale</w:t>
            </w:r>
          </w:p>
        </w:tc>
      </w:tr>
      <w:tr>
        <w:trPr/>
        <w:tc>
          <w:p w14:paraId="0010008C" w14:textId="0010008D">
            <w:r>
              <w:t xml:space="preserve">PAY_5</w:t>
            </w:r>
          </w:p>
        </w:tc>
        <w:tc>
          <w:p w14:paraId="0010008E" w14:textId="0010008F">
            <w:r>
              <w:t xml:space="preserve">Repayment status May 2005</w:t>
            </w:r>
          </w:p>
        </w:tc>
        <w:tc>
          <w:p w14:paraId="00100090" w14:textId="00100091">
            <w:r>
              <w:t xml:space="preserve">Same scale</w:t>
            </w:r>
          </w:p>
        </w:tc>
      </w:tr>
      <w:tr>
        <w:trPr/>
        <w:tc>
          <w:p w14:paraId="00100092" w14:textId="00100093">
            <w:r>
              <w:t xml:space="preserve">PAY_6</w:t>
            </w:r>
          </w:p>
        </w:tc>
        <w:tc>
          <w:p w14:paraId="00100094" w14:textId="00100095">
            <w:r>
              <w:t xml:space="preserve">Repayment status April 2005 (oldest)</w:t>
            </w:r>
          </w:p>
        </w:tc>
        <w:tc>
          <w:p w14:paraId="00100096" w14:textId="00100097">
            <w:r>
              <w:t xml:space="preserve">Same scale</w:t>
            </w:r>
          </w:p>
        </w:tc>
      </w:tr>
      <w:tr>
        <w:trPr/>
        <w:tc>
          <w:p w14:paraId="00100098" w14:textId="00100099">
            <w:r>
              <w:t xml:space="preserve">BILL_AMT1</w:t>
            </w:r>
          </w:p>
        </w:tc>
        <w:tc>
          <w:p w14:paraId="0010009A" w14:textId="0010009B">
            <w:r>
              <w:t xml:space="preserve">Bill statement September 2005 (NT$)</w:t>
            </w:r>
          </w:p>
        </w:tc>
        <w:tc>
          <w:p w14:paraId="0010009C" w14:textId="0010009D">
            <w:r>
              <w:t xml:space="preserve">Can be negative (overpayment/credit)</w:t>
            </w:r>
          </w:p>
        </w:tc>
      </w:tr>
      <w:tr>
        <w:trPr/>
        <w:tc>
          <w:p w14:paraId="0010009E" w14:textId="0010009F">
            <w:r>
              <w:t xml:space="preserve">BILL_AMT2–6</w:t>
            </w:r>
          </w:p>
        </w:tc>
        <w:tc>
          <w:p w14:paraId="001000A0" w14:textId="001000A1">
            <w:r>
              <w:t xml:space="preserve">Bill statements August–April 2005 (NT$)</w:t>
            </w:r>
          </w:p>
        </w:tc>
        <w:tc>
          <w:p w14:paraId="001000A2" w14:textId="001000A3">
            <w:r>
              <w:t xml:space="preserve">Same range</w:t>
            </w:r>
          </w:p>
        </w:tc>
      </w:tr>
      <w:tr>
        <w:trPr/>
        <w:tc>
          <w:p w14:paraId="001000A4" w14:textId="001000A5">
            <w:r>
              <w:t xml:space="preserve">PAY_AMT1</w:t>
            </w:r>
          </w:p>
        </w:tc>
        <w:tc>
          <w:p w14:paraId="001000A6" w14:textId="001000A7">
            <w:r>
              <w:t xml:space="preserve">Actual payment September 2005 (NT$)</w:t>
            </w:r>
          </w:p>
        </w:tc>
        <w:tc>
          <w:p w14:paraId="001000A8" w14:textId="001000A9">
            <w:r>
              <w:t xml:space="preserve">≥ 0</w:t>
            </w:r>
          </w:p>
        </w:tc>
      </w:tr>
      <w:tr>
        <w:trPr/>
        <w:tc>
          <w:p w14:paraId="001000AA" w14:textId="001000AB">
            <w:r>
              <w:t xml:space="preserve">PAY_AMT2–6</w:t>
            </w:r>
          </w:p>
        </w:tc>
        <w:tc>
          <w:p w14:paraId="001000AC" w14:textId="001000AD">
            <w:r>
              <w:t xml:space="preserve">Actual payments August–April 2005 (NT$)</w:t>
            </w:r>
          </w:p>
        </w:tc>
        <w:tc>
          <w:p w14:paraId="001000AE" w14:textId="001000AF">
            <w:r>
              <w:t xml:space="preserve">≥ 0</w:t>
            </w:r>
          </w:p>
        </w:tc>
      </w:tr>
      <w:tr>
        <w:trPr/>
        <w:tc>
          <w:p w14:paraId="001000B0" w14:textId="001000B1">
            <w:r>
              <w:t xml:space="preserve">DEFAULT</w:t>
            </w:r>
          </w:p>
        </w:tc>
        <w:tc>
          <w:p w14:paraId="001000B2" w14:textId="001000B3">
            <w:r>
              <w:t xml:space="preserve">Target variable: defaulted next month</w:t>
            </w:r>
          </w:p>
        </w:tc>
        <w:tc>
          <w:p w14:paraId="001000B4" w14:textId="001000B5">
            <w:r>
              <w:t xml:space="preserve">0=No default, 1=Default</w:t>
            </w:r>
          </w:p>
        </w:tc>
      </w:tr>
      <w:tr>
        <w:trPr/>
        <w:tc>
          <w:p w14:paraId="001000B6" w14:textId="001000B7">
            <w:r>
              <w:t xml:space="preserve">AGE_GROUP</w:t>
            </w:r>
          </w:p>
        </w:tc>
        <w:tc>
          <w:p w14:paraId="001000B8" w14:textId="001000B9">
            <w:r>
              <w:t xml:space="preserve">Engineered: age band (analysis column)</w:t>
            </w:r>
          </w:p>
        </w:tc>
        <w:tc>
          <w:p w14:paraId="001000BA" w14:textId="001000BB">
            <w:r>
              <w:t xml:space="preserve">20-29, 30-39, 40-49, 50-59, 60+</w:t>
            </w:r>
          </w:p>
        </w:tc>
      </w:tr>
      <w:tr>
        <w:trPr/>
        <w:tc>
          <w:p w14:paraId="001000BC" w14:textId="001000BD">
            <w:r>
              <w:t xml:space="preserve">LIMIT_BAND</w:t>
            </w:r>
          </w:p>
        </w:tc>
        <w:tc>
          <w:p w14:paraId="001000BE" w14:textId="001000BF">
            <w:r>
              <w:t xml:space="preserve">Engineered: credit limit band</w:t>
            </w:r>
          </w:p>
        </w:tc>
        <w:tc>
          <w:p w14:paraId="001000C0" w14:textId="001000C1">
            <w:r>
              <w:t xml:space="preserve">&lt;=50K, 50K-100K, 100K-200K, 200K-500K, &gt;500K</w:t>
            </w:r>
          </w:p>
        </w:tc>
      </w:tr>
      <w:tr>
        <w:trPr/>
        <w:tc>
          <w:p w14:paraId="001000C2" w14:textId="001000C3">
            <w:r>
              <w:t xml:space="preserve">UTILIZATION</w:t>
            </w:r>
          </w:p>
        </w:tc>
        <w:tc>
          <w:p w14:paraId="001000C4" w14:textId="001000C5">
            <w:r>
              <w:t xml:space="preserve">Engineered: avg bill / credit limit</w:t>
            </w:r>
          </w:p>
        </w:tc>
        <w:tc>
          <w:p w14:paraId="001000C6" w14:textId="001000C7">
            <w:r>
              <w:t xml:space="preserve">Decimal ratio</w:t>
            </w:r>
          </w:p>
        </w:tc>
      </w:tr>
      <w:tr>
        <w:trPr/>
        <w:tc>
          <w:p w14:paraId="001000C8" w14:textId="001000C9">
            <w:r>
              <w:t xml:space="preserve">MONTHS_DELAYED</w:t>
            </w:r>
          </w:p>
        </w:tc>
        <w:tc>
          <w:p w14:paraId="001000CA" w14:textId="001000CB">
            <w:r>
              <w:t xml:space="preserve">Engineered: count of months with PAY &gt; 0</w:t>
            </w:r>
          </w:p>
        </w:tc>
        <w:tc>
          <w:p w14:paraId="001000CC" w14:textId="001000CD">
            <w:r>
              <w:t xml:space="preserve">0–6</w:t>
            </w:r>
          </w:p>
        </w:tc>
      </w:tr>
      <w:tr>
        <w:trPr/>
        <w:tc>
          <w:p w14:paraId="001000CE" w14:textId="001000CF">
            <w:r>
              <w:t xml:space="preserve">RISK_SCORE</w:t>
            </w:r>
          </w:p>
        </w:tc>
        <w:tc>
          <w:p w14:paraId="001000D0" w14:textId="001000D1">
            <w:r>
              <w:t xml:space="preserve">Engineered: composite 5-component risk score</w:t>
            </w:r>
          </w:p>
        </w:tc>
        <w:tc>
          <w:p w14:paraId="001000D2" w14:textId="001000D3">
            <w:r>
              <w:t xml:space="preserve">0–13</w:t>
            </w:r>
          </w:p>
        </w:tc>
      </w:tr>
      <w:tr>
        <w:trPr/>
        <w:tc>
          <w:p w14:paraId="001000D4" w14:textId="001000D5">
            <w:r>
              <w:t xml:space="preserve">RISK_SEGMENT</w:t>
            </w:r>
          </w:p>
        </w:tc>
        <w:tc>
          <w:p w14:paraId="001000D6" w14:textId="001000D7">
            <w:r>
              <w:t xml:space="preserve">Engineered: Low / Medium / High Risk segment</w:t>
            </w:r>
          </w:p>
        </w:tc>
        <w:tc>
          <w:p w14:paraId="001000D8" w14:textId="001000D9">
            <w:r>
              <w:t xml:space="preserve">Based on RISK_SCORE thresholds</w:t>
            </w:r>
          </w:p>
        </w:tc>
      </w:tr>
      <w:tr>
        <w:trPr/>
        <w:tc>
          <w:p w14:paraId="001000DA" w14:textId="001000DB">
            <w:r>
              <w:t xml:space="preserve">PAY_COVERAGE</w:t>
            </w:r>
          </w:p>
        </w:tc>
        <w:tc>
          <w:p w14:paraId="001000DC" w14:textId="001000DD">
            <w:r>
              <w:t xml:space="preserve">Engineered: avg payment / avg bill</w:t>
            </w:r>
          </w:p>
        </w:tc>
        <w:tc>
          <w:p w14:paraId="001000DE" w14:textId="001000DF">
            <w:r>
              <w:t xml:space="preserve">Decimal ratio</w:t>
            </w:r>
          </w:p>
        </w:tc>
      </w:tr>
      <w:tr>
        <w:trPr/>
        <w:tc>
          <w:p w14:paraId="001000E0" w14:textId="001000E1">
            <w:r>
              <w:t xml:space="preserve">(+13 more)</w:t>
            </w:r>
          </w:p>
        </w:tc>
        <w:tc>
          <w:p w14:paraId="001000E2" w14:textId="001000E3">
            <w:r>
              <w:t xml:space="preserve">See notebook Section 9 for full engineered feature list</w:t>
            </w:r>
          </w:p>
        </w:tc>
        <w:tc>
          <w:p w14:paraId="001000E4" w14:textId="001000E5">
            <w:r>
              <w:t xml:space="preserve">Various</w:t>
            </w:r>
          </w:p>
        </w:tc>
      </w:tr>
    </w:tbl>
    <w:p w14:paraId="001000E6" w14:textId="001000E7">
      <w:pPr>
        <w:pStyle w:val="Heading1"/>
        <w:spacing w:before="240" w:after="160"/>
      </w:pPr>
      <w:r>
        <w:rPr>
          <w:b/>
          <w:sz w:val="36"/>
        </w:rPr>
        <w:t xml:space="preserve">6. Methodology</w:t>
      </w:r>
    </w:p>
    <w:p w14:paraId="001000E8" w14:textId="001000E9">
      <w:pPr>
        <w:spacing w:after="120"/>
      </w:pPr>
      <w:r>
        <w:rPr>
          <w:sz w:val="22"/>
        </w:rPr>
        <w:t xml:space="preserve">The project follows a structured data analytics workflow:</w:t>
      </w:r>
    </w:p>
    <w:p w14:paraId="001000EA" w14:textId="001000EB">
      <w:pPr>
        <w:numPr>
          <w:ilvl w:val="0"/>
          <w:numId w:val="3"/>
        </w:numPr>
        <w:spacing w:after="60"/>
      </w:pPr>
      <w:r>
        <w:rPr>
          <w:sz w:val="22"/>
        </w:rPr>
        <w:t xml:space="preserve">Step 1 — Data Validation: Programmatic verification of row count, column names, data types, missing values, duplicates, unique IDs, and target distribution.</w:t>
      </w:r>
    </w:p>
    <w:p w14:paraId="001000EC" w14:textId="001000ED">
      <w:pPr>
        <w:numPr>
          <w:ilvl w:val="0"/>
          <w:numId w:val="3"/>
        </w:numPr>
        <w:spacing w:after="60"/>
      </w:pPr>
      <w:r>
        <w:rPr>
          <w:sz w:val="22"/>
        </w:rPr>
        <w:t xml:space="preserve">Step 2 — Data Cleaning: Label encoding of categorical variables; no records removed (0 missing values, 0 duplicates). All transformations performed on a copy (dfc), preserving the original dataframe (df_raw).</w:t>
      </w:r>
    </w:p>
    <w:p w14:paraId="001000EE" w14:textId="001000EF">
      <w:pPr>
        <w:numPr>
          <w:ilvl w:val="0"/>
          <w:numId w:val="3"/>
        </w:numPr>
        <w:spacing w:after="60"/>
      </w:pPr>
      <w:r>
        <w:rPr>
          <w:sz w:val="22"/>
        </w:rPr>
        <w:t xml:space="preserve">Step 3 — Feature Engineering: 18+ interpretable features created across credit exposure, payment, utilization, repayment behavior, billing behavior, and payment coverage dimensions.</w:t>
      </w:r>
    </w:p>
    <w:p w14:paraId="001000F0" w14:textId="001000F1">
      <w:pPr>
        <w:numPr>
          <w:ilvl w:val="0"/>
          <w:numId w:val="3"/>
        </w:numPr>
        <w:spacing w:after="60"/>
      </w:pPr>
      <w:r>
        <w:rPr>
          <w:sz w:val="22"/>
        </w:rPr>
        <w:t xml:space="preserve">Step 4 — Exploratory Data Analysis: Full portfolio overview, demographic analysis, credit limit analysis, repayment analysis, billing analysis, payment analysis, utilization analysis, and behavioral risk pattern identification. 9 figures produced.</w:t>
      </w:r>
    </w:p>
    <w:p w14:paraId="001000F2" w14:textId="001000F3">
      <w:pPr>
        <w:numPr>
          <w:ilvl w:val="0"/>
          <w:numId w:val="3"/>
        </w:numPr>
        <w:spacing w:after="60"/>
      </w:pPr>
      <w:r>
        <w:rPr>
          <w:sz w:val="22"/>
        </w:rPr>
        <w:t xml:space="preserve">Step 5 — Statistical Analysis: 9 hypothesis tests applied (point-biserial correlation, chi-square, Mann-Whitney U). All p-values and effect sizes documented.</w:t>
      </w:r>
    </w:p>
    <w:p w14:paraId="001000F4" w14:textId="001000F5">
      <w:pPr>
        <w:numPr>
          <w:ilvl w:val="0"/>
          <w:numId w:val="3"/>
        </w:numPr>
        <w:spacing w:after="60"/>
      </w:pPr>
      <w:r>
        <w:rPr>
          <w:sz w:val="22"/>
        </w:rPr>
        <w:t xml:space="preserve">Step 6 — Risk Segmentation: A transparent 5-component scoring framework (RISK_SCORE 0–13) assigns customers to Low, Medium, or High Risk segments. Each component, weight, and threshold is fully documented.</w:t>
      </w:r>
    </w:p>
    <w:p w14:paraId="001000F6" w14:textId="001000F7">
      <w:pPr>
        <w:numPr>
          <w:ilvl w:val="0"/>
          <w:numId w:val="3"/>
        </w:numPr>
        <w:spacing w:after="60"/>
      </w:pPr>
      <w:r>
        <w:rPr>
          <w:sz w:val="22"/>
        </w:rPr>
        <w:t xml:space="preserve">Step 7 — SQL Analysis: 14 named PostgreSQL queries + 5 bonus queries, including CTEs, window functions, ranking, HAVING clauses, and UNION ALL for trend analysis.</w:t>
      </w:r>
    </w:p>
    <w:p w14:paraId="001000F8" w14:textId="001000F9">
      <w:pPr>
        <w:numPr>
          <w:ilvl w:val="0"/>
          <w:numId w:val="3"/>
        </w:numPr>
        <w:spacing w:after="240"/>
      </w:pPr>
      <w:r>
        <w:rPr>
          <w:sz w:val="22"/>
        </w:rPr>
        <w:t xml:space="preserve">Step 8 — Power BI Dashboard: 5-page interactive dashboard specification, 40+ DAX measures, validated theme JSON, complete interactivity specification including slicers, cross-filtering, drill-through, bookmarks, and dynamic titles.</w:t>
      </w:r>
    </w:p>
    <w:p w14:paraId="001000FA" w14:textId="001000FB">
      <w:pPr>
        <w:pStyle w:val="Heading1"/>
        <w:spacing w:before="240" w:after="160"/>
      </w:pPr>
      <w:r>
        <w:rPr>
          <w:b/>
          <w:sz w:val="36"/>
        </w:rPr>
        <w:t xml:space="preserve">7. Data Quality Assessment</w:t>
      </w:r>
    </w:p>
    <w:p w14:paraId="001000FC" w14:textId="001000FD">
      <w:pPr>
        <w:spacing w:after="120"/>
      </w:pPr>
      <w:r>
        <w:rPr>
          <w:sz w:val="22"/>
        </w:rPr>
        <w:t xml:space="preserve">The following checks were performed programmatically in the notebook (Section 7):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FE" w14:textId="001000FF">
            <w:r>
              <w:t xml:space="preserve">Quality Check</w:t>
            </w:r>
          </w:p>
        </w:tc>
        <w:tc>
          <w:p w14:paraId="00100100" w14:textId="00100101">
            <w:r>
              <w:t xml:space="preserve">Result</w:t>
            </w:r>
          </w:p>
        </w:tc>
        <w:tc>
          <w:p w14:paraId="00100102" w14:textId="00100103">
            <w:r>
              <w:t xml:space="preserve">Notes</w:t>
            </w:r>
          </w:p>
        </w:tc>
      </w:tr>
      <w:tr>
        <w:trPr/>
        <w:tc>
          <w:p w14:paraId="00100104" w14:textId="00100105">
            <w:r>
              <w:t xml:space="preserve">Row count</w:t>
            </w:r>
          </w:p>
        </w:tc>
        <w:tc>
          <w:p w14:paraId="00100106" w14:textId="00100107">
            <w:r>
              <w:t xml:space="preserve">30,000 ✓</w:t>
            </w:r>
          </w:p>
        </w:tc>
        <w:tc>
          <w:p w14:paraId="00100108" w14:textId="00100109">
            <w:r>
              <w:t xml:space="preserve">Assertion passed</w:t>
            </w:r>
          </w:p>
        </w:tc>
      </w:tr>
      <w:tr>
        <w:trPr/>
        <w:tc>
          <w:p w14:paraId="0010010A" w14:textId="0010010B">
            <w:r>
              <w:t xml:space="preserve">Column count</w:t>
            </w:r>
          </w:p>
        </w:tc>
        <w:tc>
          <w:p w14:paraId="0010010C" w14:textId="0010010D">
            <w:r>
              <w:t xml:space="preserve">25 ✓</w:t>
            </w:r>
          </w:p>
        </w:tc>
        <w:tc>
          <w:p w14:paraId="0010010E" w14:textId="0010010F">
            <w:r>
              <w:t xml:space="preserve">All original columns present</w:t>
            </w:r>
          </w:p>
        </w:tc>
      </w:tr>
      <w:tr>
        <w:trPr/>
        <w:tc>
          <w:p w14:paraId="00100110" w14:textId="00100111">
            <w:r>
              <w:t xml:space="preserve">Missing values</w:t>
            </w:r>
          </w:p>
        </w:tc>
        <w:tc>
          <w:p w14:paraId="00100112" w14:textId="00100113">
            <w:r>
              <w:t xml:space="preserve">0 ✓</w:t>
            </w:r>
          </w:p>
        </w:tc>
        <w:tc>
          <w:p w14:paraId="00100114" w14:textId="00100115">
            <w:r>
              <w:t xml:space="preserve">No imputation required</w:t>
            </w:r>
          </w:p>
        </w:tc>
      </w:tr>
      <w:tr>
        <w:trPr/>
        <w:tc>
          <w:p w14:paraId="00100116" w14:textId="00100117">
            <w:r>
              <w:t xml:space="preserve">Duplicate rows</w:t>
            </w:r>
          </w:p>
        </w:tc>
        <w:tc>
          <w:p w14:paraId="00100118" w14:textId="00100119">
            <w:r>
              <w:t xml:space="preserve">0 ✓</w:t>
            </w:r>
          </w:p>
        </w:tc>
        <w:tc>
          <w:p w14:paraId="0010011A" w14:textId="0010011B">
            <w:r>
              <w:t xml:space="preserve">No deduplication required</w:t>
            </w:r>
          </w:p>
        </w:tc>
      </w:tr>
      <w:tr>
        <w:trPr/>
        <w:tc>
          <w:p w14:paraId="0010011C" w14:textId="0010011D">
            <w:r>
              <w:t xml:space="preserve">Unique customer IDs</w:t>
            </w:r>
          </w:p>
        </w:tc>
        <w:tc>
          <w:p w14:paraId="0010011E" w14:textId="0010011F">
            <w:r>
              <w:t xml:space="preserve">30,000 ✓</w:t>
            </w:r>
          </w:p>
        </w:tc>
        <w:tc>
          <w:p w14:paraId="00100120" w14:textId="00100121">
            <w:r>
              <w:t xml:space="preserve">Each row is a distinct customer</w:t>
            </w:r>
          </w:p>
        </w:tc>
      </w:tr>
      <w:tr>
        <w:trPr/>
        <w:tc>
          <w:p w14:paraId="00100122" w14:textId="00100123">
            <w:r>
              <w:t xml:space="preserve">Target values</w:t>
            </w:r>
          </w:p>
        </w:tc>
        <w:tc>
          <w:p w14:paraId="00100124" w14:textId="00100125">
            <w:r>
              <w:t xml:space="preserve">{0, 1} ✓</w:t>
            </w:r>
          </w:p>
        </w:tc>
        <w:tc>
          <w:p w14:paraId="00100126" w14:textId="00100127">
            <w:r>
              <w:t xml:space="preserve">Binary; valid</w:t>
            </w:r>
          </w:p>
        </w:tc>
      </w:tr>
      <w:tr>
        <w:trPr/>
        <w:tc>
          <w:p w14:paraId="00100128" w14:textId="00100129">
            <w:r>
              <w:t xml:space="preserve">Negative BILL amounts</w:t>
            </w:r>
          </w:p>
        </w:tc>
        <w:tc>
          <w:p w14:paraId="0010012A" w14:textId="0010012B">
            <w:r>
              <w:t xml:space="preserve">~655 avg/month ⚠</w:t>
            </w:r>
          </w:p>
        </w:tc>
        <w:tc>
          <w:p w14:paraId="0010012C" w14:textId="0010012D">
            <w:r>
              <w:t xml:space="preserve">Valid: represents credit balance/overpayment</w:t>
            </w:r>
          </w:p>
        </w:tc>
      </w:tr>
      <w:tr>
        <w:trPr/>
        <w:tc>
          <w:p w14:paraId="0010012E" w14:textId="0010012F">
            <w:r>
              <w:t xml:space="preserve">EDUCATION codes 0/5/6; MARRIAGE code 0</w:t>
            </w:r>
          </w:p>
        </w:tc>
        <w:tc>
          <w:p w14:paraId="00100130" w14:textId="00100131">
            <w:r>
              <w:t xml:space="preserve">399 rows total ⚠</w:t>
            </w:r>
          </w:p>
        </w:tc>
        <w:tc>
          <w:p w14:paraId="00100132" w14:textId="00100133">
            <w:r>
              <w:t xml:space="preserve">Undocumented in original paper; retained with annotation</w:t>
            </w:r>
          </w:p>
        </w:tc>
      </w:tr>
    </w:tbl>
    <w:p w14:paraId="00100134" w14:textId="00100135">
      <w:pPr>
        <w:spacing w:after="240"/>
      </w:pPr>
      <w:r>
        <w:rPr>
          <w:sz w:val="22"/>
        </w:rPr>
        <w:t xml:space="preserve">No records were removed. All anomalies are documented known quirks of the dataset or valid financial values.</w:t>
      </w:r>
    </w:p>
    <w:p w14:paraId="00100136" w14:textId="00100137">
      <w:pPr>
        <w:pStyle w:val="Heading1"/>
        <w:spacing w:before="240" w:after="160"/>
      </w:pPr>
      <w:r>
        <w:rPr>
          <w:b/>
          <w:sz w:val="36"/>
        </w:rPr>
        <w:t xml:space="preserve">8. Feature Engineering</w:t>
      </w:r>
    </w:p>
    <w:p w14:paraId="00100138" w14:textId="00100139">
      <w:pPr>
        <w:spacing w:after="160"/>
      </w:pPr>
      <w:r>
        <w:rPr>
          <w:sz w:val="22"/>
        </w:rPr>
        <w:t xml:space="preserve">18+ interpretable analytical features were created on a separate working copy (dfc). The original dataframe (df_raw) was never modified.</w:t>
      </w:r>
    </w:p>
    <w:p w14:paraId="0010013A" w14:textId="0010013B">
      <w:pPr>
        <w:spacing w:after="240"/>
      </w:pPr>
      <w:r>
        <w:rPr>
          <w:sz w:val="22"/>
        </w:rPr>
        <w:t xml:space="preserve">Credit Exposure: AVG_BILL_AMT (mean of 6 monthly bills), MAX_BILL_AMT (worst-case bill), TOTAL_BILL_6M (6-month sum). Payment Metrics: TOTAL_PAY_6M, AVG_PAY_AMT, PAY_TO_BILL_RATIO (total payments / total bills, NaN where no billing). Credit Utilization: UTILIZATION = AVG_BILL_AMT / LIMIT_BAL (safe division; NaN if LIMIT_BAL = 0, which did not occur). Repayment Behavior: AVG_PAY_STATUS (mean of 6 PAY codes), MAX_PAY_DELAY (worst delay), MONTHS_DELAYED (count of months with PAY &gt; 0), MONTHS_SEVERE_DELAY (PAY &gt;= 2), PERSISTENT_DELINQUENT (flag: 3+ delayed months), RECENT_DELINQUENT (flag: PAY_0 &gt; 0), ALWAYS_ON_TIME (flag: all PAY &lt;= 0). Billing Behavior: BILL_VOLATILITY (standard deviation). Payment Behavior: PAY_COVERAGE = AVG_PAY_AMT / AVG_BILL_AMT. Risk Scoring: RISK_SCORE (0–13 composite), RISK_SEGMENT (Low/Medium/High). Band columns: LIMIT_BAND, UTIL_BAND, AGE_GROUP.</w:t>
      </w:r>
    </w:p>
    <w:p w14:paraId="0010013C" w14:textId="0010013D">
      <w:pPr>
        <w:pStyle w:val="Heading1"/>
        <w:spacing w:before="240" w:after="160"/>
      </w:pPr>
      <w:r>
        <w:rPr>
          <w:b/>
          <w:sz w:val="36"/>
        </w:rPr>
        <w:t xml:space="preserve">9. Exploratory Data Analysis — Summary</w:t>
      </w:r>
    </w:p>
    <w:p w14:paraId="0010013E" w14:textId="0010013F">
      <w:pPr>
        <w:pStyle w:val="Heading2"/>
        <w:spacing w:before="160" w:after="120"/>
      </w:pPr>
      <w:r>
        <w:rPr>
          <w:b/>
          <w:sz w:val="28"/>
        </w:rPr>
        <w:t xml:space="preserve">9.1 Portfolio Overview (Fig 01)</w:t>
      </w:r>
    </w:p>
    <w:p w14:paraId="00100140" w14:textId="00100141">
      <w:pPr>
        <w:spacing w:after="160"/>
      </w:pPr>
      <w:r>
        <w:rPr>
          <w:sz w:val="22"/>
        </w:rPr>
        <w:t xml:space="preserve">The portfolio contains 30,000 customers with NT$5,024,529,680 total credit exposure. The mean credit limit is NT$167,484 and the median is NT$140,000. Overall default rate is 22.12% (6,636 defaulters / 23,364 non-defaulters). 66.4% of customers maintained on-time payments throughout all 6 months; 33.6% experienced at least one delayed month; 12.5% were persistently delinquent (3+ delayed months).</w:t>
      </w:r>
    </w:p>
    <w:p w14:paraId="00100142" w14:textId="00100143">
      <w:pPr>
        <w:pStyle w:val="Heading2"/>
        <w:spacing w:before="160" w:after="120"/>
      </w:pPr>
      <w:r>
        <w:rPr>
          <w:b/>
          <w:sz w:val="28"/>
        </w:rPr>
        <w:t xml:space="preserve">9.2 Demographic Analysis (Fig 02)</w:t>
      </w:r>
    </w:p>
    <w:p w14:paraId="00100144" w14:textId="00100145">
      <w:pPr>
        <w:spacing w:after="160"/>
      </w:pPr>
      <w:r>
        <w:rPr>
          <w:sz w:val="22"/>
        </w:rPr>
        <w:t xml:space="preserve">Males (24.17%) show a slightly higher observed default rate than females (20.78%). High-school-educated customers show the highest default rate (25.16%) among the main education categories; graduate-school customers show the lowest (19.23%). Customers aged 60+ show the highest rate (28.3%) though they represent only 1.1% of the portfolio. All demographic associations are statistically significant but effect sizes are small compared to behavioral variables.</w:t>
      </w:r>
    </w:p>
    <w:p w14:paraId="00100146" w14:textId="00100147">
      <w:pPr>
        <w:pStyle w:val="Heading2"/>
        <w:spacing w:before="160" w:after="120"/>
      </w:pPr>
      <w:r>
        <w:rPr>
          <w:b/>
          <w:sz w:val="28"/>
        </w:rPr>
        <w:t xml:space="preserve">9.3 Credit Limit Analysis (Fig 03)</w:t>
      </w:r>
    </w:p>
    <w:p w14:paraId="00100148" w14:textId="00100149">
      <w:pPr>
        <w:spacing w:after="160"/>
      </w:pPr>
      <w:r>
        <w:rPr>
          <w:sz w:val="22"/>
        </w:rPr>
        <w:t xml:space="preserve">Default rates decrease monotonically with credit limit: ≤NT$50K = 31.79%, 50K–100K = 25.80%, 100K–200K = 19.48%, 200K–500K = 14.80%, &gt;NT$500K = 11.17%. Defaulters have a median credit limit of NT$90,000 vs NT$150,000 for non-defaulters.</w:t>
      </w:r>
    </w:p>
    <w:p w14:paraId="0010014A" w14:textId="0010014B">
      <w:pPr>
        <w:pStyle w:val="Heading2"/>
        <w:spacing w:before="160" w:after="120"/>
      </w:pPr>
      <w:r>
        <w:rPr>
          <w:b/>
          <w:sz w:val="28"/>
        </w:rPr>
        <w:t xml:space="preserve">9.4 Repayment Analysis (Fig 04)</w:t>
      </w:r>
    </w:p>
    <w:p w14:paraId="0010014C" w14:textId="0010014D">
      <w:pPr>
        <w:spacing w:after="160"/>
      </w:pPr>
      <w:r>
        <w:rPr>
          <w:sz w:val="22"/>
        </w:rPr>
        <w:t xml:space="preserve">PAY_0 (September 2005 repayment status) is the single strongest individual variable. A status of 2 (one billing cycle behind) is associated with a 69.14% default rate. Customers with 6 delayed months in the six-month window show a 70.32% default rate. Even a single delayed month (MONTHS_DELAYED = 1) corresponds to a 29.8% default rate — nearly 2.5× the portfolio average.</w:t>
      </w:r>
    </w:p>
    <w:p w14:paraId="0010014E" w14:textId="0010014F">
      <w:pPr>
        <w:pStyle w:val="Heading2"/>
        <w:spacing w:before="160" w:after="120"/>
      </w:pPr>
      <w:r>
        <w:rPr>
          <w:b/>
          <w:sz w:val="28"/>
        </w:rPr>
        <w:t xml:space="preserve">9.5 Credit Utilization Analysis (Fig 07)</w:t>
      </w:r>
    </w:p>
    <w:p w14:paraId="00100150" w14:textId="00100151">
      <w:pPr>
        <w:spacing w:after="240"/>
      </w:pPr>
      <w:r>
        <w:rPr>
          <w:sz w:val="22"/>
        </w:rPr>
        <w:t xml:space="preserve">Customers with utilization above 75% show default rates of 30.7–34.2%, compared to 16.7% for the 0–25% band. The mean portfolio utilization is 37.3% and the median is 28.5%.</w:t>
      </w:r>
    </w:p>
    <w:p w14:paraId="00100152" w14:textId="00100153">
      <w:pPr>
        <w:pStyle w:val="Heading1"/>
        <w:spacing w:before="240" w:after="160"/>
      </w:pPr>
      <w:r>
        <w:rPr>
          <w:b/>
          <w:sz w:val="36"/>
        </w:rPr>
        <w:t xml:space="preserve">10. Statistical Analysis</w:t>
      </w:r>
    </w:p>
    <w:p w14:paraId="00100154" w14:textId="00100155">
      <w:pPr>
        <w:spacing w:after="160"/>
      </w:pPr>
      <w:r>
        <w:rPr>
          <w:sz w:val="22"/>
        </w:rPr>
        <w:t xml:space="preserve">Nine hypothesis tests were conducted. All p-values are &lt;0.0001 unless otherwise noted. Statistical associations do not imply causation.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56" w14:textId="00100157">
            <w:r>
              <w:t xml:space="preserve">Test</w:t>
            </w:r>
          </w:p>
        </w:tc>
        <w:tc>
          <w:p w14:paraId="00100158" w14:textId="00100159">
            <w:r>
              <w:t xml:space="preserve">Variables</w:t>
            </w:r>
          </w:p>
        </w:tc>
        <w:tc>
          <w:p w14:paraId="0010015A" w14:textId="0010015B">
            <w:r>
              <w:t xml:space="preserve">Result</w:t>
            </w:r>
          </w:p>
        </w:tc>
        <w:tc>
          <w:p w14:paraId="0010015C" w14:textId="0010015D">
            <w:r>
              <w:t xml:space="preserve">Interpretation</w:t>
            </w:r>
          </w:p>
        </w:tc>
      </w:tr>
      <w:tr>
        <w:trPr/>
        <w:tc>
          <w:p w14:paraId="0010015E" w14:textId="0010015F">
            <w:r>
              <w:t xml:space="preserve">Point-biserial</w:t>
            </w:r>
          </w:p>
        </w:tc>
        <w:tc>
          <w:p w14:paraId="00100160" w14:textId="00100161">
            <w:r>
              <w:t xml:space="preserve">MONTHS_DELAYED vs DEFAULT</w:t>
            </w:r>
          </w:p>
        </w:tc>
        <w:tc>
          <w:p w14:paraId="00100162" w14:textId="00100163">
            <w:r>
              <w:t xml:space="preserve">r = +0.3984, p&lt;0.0001</w:t>
            </w:r>
          </w:p>
        </w:tc>
        <w:tc>
          <w:p w14:paraId="00100164" w14:textId="00100165">
            <w:r>
              <w:t xml:space="preserve">Strongest predictor; moderate positive association</w:t>
            </w:r>
          </w:p>
        </w:tc>
      </w:tr>
      <w:tr>
        <w:trPr/>
        <w:tc>
          <w:p w14:paraId="00100166" w14:textId="00100167">
            <w:r>
              <w:t xml:space="preserve">Point-biserial</w:t>
            </w:r>
          </w:p>
        </w:tc>
        <w:tc>
          <w:p w14:paraId="00100168" w14:textId="00100169">
            <w:r>
              <w:t xml:space="preserve">AVG_PAY_STATUS vs DEFAULT</w:t>
            </w:r>
          </w:p>
        </w:tc>
        <w:tc>
          <w:p w14:paraId="0010016A" w14:textId="0010016B">
            <w:r>
              <w:t xml:space="preserve">r = +0.2820, p&lt;0.0001</w:t>
            </w:r>
          </w:p>
        </w:tc>
        <w:tc>
          <w:p w14:paraId="0010016C" w14:textId="0010016D">
            <w:r>
              <w:t xml:space="preserve">Moderate positive association</w:t>
            </w:r>
          </w:p>
        </w:tc>
      </w:tr>
      <w:tr>
        <w:trPr/>
        <w:tc>
          <w:p w14:paraId="0010016E" w14:textId="0010016F">
            <w:r>
              <w:t xml:space="preserve">Point-biserial</w:t>
            </w:r>
          </w:p>
        </w:tc>
        <w:tc>
          <w:p w14:paraId="00100170" w14:textId="00100171">
            <w:r>
              <w:t xml:space="preserve">LIMIT_BAL vs DEFAULT</w:t>
            </w:r>
          </w:p>
        </w:tc>
        <w:tc>
          <w:p w14:paraId="00100172" w14:textId="00100173">
            <w:r>
              <w:t xml:space="preserve">r = -0.1535, p&lt;0.0001</w:t>
            </w:r>
          </w:p>
        </w:tc>
        <w:tc>
          <w:p w14:paraId="00100174" w14:textId="00100175">
            <w:r>
              <w:t xml:space="preserve">Negative: higher limit → lower default rate</w:t>
            </w:r>
          </w:p>
        </w:tc>
      </w:tr>
      <w:tr>
        <w:trPr/>
        <w:tc>
          <w:p w14:paraId="00100176" w14:textId="00100177">
            <w:r>
              <w:t xml:space="preserve">Point-biserial</w:t>
            </w:r>
          </w:p>
        </w:tc>
        <w:tc>
          <w:p w14:paraId="00100178" w14:textId="00100179">
            <w:r>
              <w:t xml:space="preserve">UTILIZATION vs DEFAULT</w:t>
            </w:r>
          </w:p>
        </w:tc>
        <w:tc>
          <w:p w14:paraId="0010017A" w14:textId="0010017B">
            <w:r>
              <w:t xml:space="preserve">r = +0.1155, p&lt;0.0001</w:t>
            </w:r>
          </w:p>
        </w:tc>
        <w:tc>
          <w:p w14:paraId="0010017C" w14:textId="0010017D">
            <w:r>
              <w:t xml:space="preserve">Higher utilization → higher default rate</w:t>
            </w:r>
          </w:p>
        </w:tc>
      </w:tr>
      <w:tr>
        <w:trPr/>
        <w:tc>
          <w:p w14:paraId="0010017E" w14:textId="0010017F">
            <w:r>
              <w:t xml:space="preserve">Chi-square</w:t>
            </w:r>
          </w:p>
        </w:tc>
        <w:tc>
          <w:p w14:paraId="00100180" w14:textId="00100181">
            <w:r>
              <w:t xml:space="preserve">SEX vs DEFAULT</w:t>
            </w:r>
          </w:p>
        </w:tc>
        <w:tc>
          <w:p w14:paraId="00100182" w14:textId="00100183">
            <w:r>
              <w:t xml:space="preserve">χ²=47.71, dof=1</w:t>
            </w:r>
          </w:p>
        </w:tc>
        <w:tc>
          <w:p w14:paraId="00100184" w14:textId="00100185">
            <w:r>
              <w:t xml:space="preserve">Significant; small effect size</w:t>
            </w:r>
          </w:p>
        </w:tc>
      </w:tr>
      <w:tr>
        <w:trPr/>
        <w:tc>
          <w:p w14:paraId="00100186" w14:textId="00100187">
            <w:r>
              <w:t xml:space="preserve">Chi-square</w:t>
            </w:r>
          </w:p>
        </w:tc>
        <w:tc>
          <w:p w14:paraId="00100188" w14:textId="00100189">
            <w:r>
              <w:t xml:space="preserve">EDUCATION vs DEFAULT</w:t>
            </w:r>
          </w:p>
        </w:tc>
        <w:tc>
          <w:p w14:paraId="0010018A" w14:textId="0010018B">
            <w:r>
              <w:t xml:space="preserve">χ²=163.22, dof=6</w:t>
            </w:r>
          </w:p>
        </w:tc>
        <w:tc>
          <w:p w14:paraId="0010018C" w14:textId="0010018D">
            <w:r>
              <w:t xml:space="preserve">Significant; modest effect size</w:t>
            </w:r>
          </w:p>
        </w:tc>
      </w:tr>
      <w:tr>
        <w:trPr/>
        <w:tc>
          <w:p w14:paraId="0010018E" w14:textId="0010018F">
            <w:r>
              <w:t xml:space="preserve">Chi-square</w:t>
            </w:r>
          </w:p>
        </w:tc>
        <w:tc>
          <w:p w14:paraId="00100190" w14:textId="00100191">
            <w:r>
              <w:t xml:space="preserve">MARRIAGE vs DEFAULT</w:t>
            </w:r>
          </w:p>
        </w:tc>
        <w:tc>
          <w:p w14:paraId="00100192" w14:textId="00100193">
            <w:r>
              <w:t xml:space="preserve">χ²=35.66, dof=3</w:t>
            </w:r>
          </w:p>
        </w:tc>
        <w:tc>
          <w:p w14:paraId="00100194" w14:textId="00100195">
            <w:r>
              <w:t xml:space="preserve">Significant; small effect size</w:t>
            </w:r>
          </w:p>
        </w:tc>
      </w:tr>
      <w:tr>
        <w:trPr/>
        <w:tc>
          <w:p w14:paraId="00100196" w14:textId="00100197">
            <w:r>
              <w:t xml:space="preserve">Mann-Whitney U</w:t>
            </w:r>
          </w:p>
        </w:tc>
        <w:tc>
          <w:p w14:paraId="00100198" w14:textId="00100199">
            <w:r>
              <w:t xml:space="preserve">LIMIT_BAL: Default vs Non-Default</w:t>
            </w:r>
          </w:p>
        </w:tc>
        <w:tc>
          <w:p w14:paraId="0010019A" w14:textId="0010019B">
            <w:r>
              <w:t xml:space="preserve">Median $90K vs $150K</w:t>
            </w:r>
          </w:p>
        </w:tc>
        <w:tc>
          <w:p w14:paraId="0010019C" w14:textId="0010019D">
            <w:r>
              <w:t xml:space="preserve">Highly significant; defaulters carry lower credit limits</w:t>
            </w:r>
          </w:p>
        </w:tc>
      </w:tr>
      <w:tr>
        <w:trPr/>
        <w:tc>
          <w:p w14:paraId="0010019E" w14:textId="0010019F">
            <w:r>
              <w:t xml:space="preserve">Mann-Whitney U</w:t>
            </w:r>
          </w:p>
        </w:tc>
        <w:tc>
          <w:p w14:paraId="001001A0" w14:textId="001001A1">
            <w:r>
              <w:t xml:space="preserve">AVG_PAY_STATUS: Default vs Non-Default</w:t>
            </w:r>
          </w:p>
        </w:tc>
        <w:tc>
          <w:p w14:paraId="001001A2" w14:textId="001001A3">
            <w:r>
              <w:t xml:space="preserve">Median 0.333 vs 0.000</w:t>
            </w:r>
          </w:p>
        </w:tc>
        <w:tc>
          <w:p w14:paraId="001001A4" w14:textId="001001A5">
            <w:r>
              <w:t xml:space="preserve">Defaulters are on average behind in payments</w:t>
            </w:r>
          </w:p>
        </w:tc>
      </w:tr>
    </w:tbl>
    <w:p w14:paraId="001001A6" w14:textId="001001A7">
      <w:pPr>
        <w:spacing w:after="240"/>
      </w:pPr>
      <w:r>
        <w:rPr>
          <w:sz w:val="22"/>
        </w:rPr>
        <w:t xml:space="preserve">All tests were conducted at the 5% significance level. All null hypotheses of independence/equality were rejected.</w:t>
      </w:r>
    </w:p>
    <w:p w14:paraId="001001A8" w14:textId="001001A9">
      <w:pPr>
        <w:pStyle w:val="Heading1"/>
        <w:spacing w:before="240" w:after="160"/>
      </w:pPr>
      <w:r>
        <w:rPr>
          <w:b/>
          <w:sz w:val="36"/>
        </w:rPr>
        <w:t xml:space="preserve">11. Risk Segmentation Methodology</w:t>
      </w:r>
    </w:p>
    <w:p w14:paraId="001001AA" w14:textId="001001AB">
      <w:pPr>
        <w:spacing w:after="160"/>
      </w:pPr>
      <w:r>
        <w:rPr>
          <w:b/>
          <w:sz w:val="22"/>
        </w:rPr>
        <w:t xml:space="preserve">This is an analytical risk-segmentation framework created for portfolio monitoring purposes. It is not a formal credit score, a regulatory risk rating, or a model validated for credit decisions.</w:t>
      </w:r>
    </w:p>
    <w:p w14:paraId="001001AC" w14:textId="001001AD">
      <w:pPr>
        <w:spacing w:after="120"/>
      </w:pPr>
      <w:r>
        <w:rPr>
          <w:sz w:val="22"/>
        </w:rPr>
        <w:t xml:space="preserve">The RISK_SCORE (0–13) is the sum of five independently scored behavioral components: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AE" w14:textId="001001AF">
            <w:r>
              <w:t xml:space="preserve">Component</w:t>
            </w:r>
          </w:p>
        </w:tc>
        <w:tc>
          <w:p w14:paraId="001001B0" w14:textId="001001B1">
            <w:r>
              <w:t xml:space="preserve">Metric</w:t>
            </w:r>
          </w:p>
        </w:tc>
        <w:tc>
          <w:p w14:paraId="001001B2" w14:textId="001001B3">
            <w:r>
              <w:t xml:space="preserve">Score (pts)</w:t>
            </w:r>
          </w:p>
        </w:tc>
      </w:tr>
      <w:tr>
        <w:trPr/>
        <w:tc>
          <w:p w14:paraId="001001B4" w14:textId="001001B5">
            <w:r>
              <w:t xml:space="preserve">Max Payment Delay</w:t>
            </w:r>
          </w:p>
        </w:tc>
        <w:tc>
          <w:p w14:paraId="001001B6" w14:textId="001001B7">
            <w:r>
              <w:t xml:space="preserve">MAX_PAY_DELAY: &lt;=0 / =1 / =2 / 3-4 / 5+</w:t>
            </w:r>
          </w:p>
        </w:tc>
        <w:tc>
          <w:p w14:paraId="001001B8" w14:textId="001001B9">
            <w:r>
              <w:t xml:space="preserve">0 / 1 / 2 / 3 / 4</w:t>
            </w:r>
          </w:p>
        </w:tc>
      </w:tr>
      <w:tr>
        <w:trPr/>
        <w:tc>
          <w:p w14:paraId="001001BA" w14:textId="001001BB">
            <w:r>
              <w:t xml:space="preserve">Delinquent Months</w:t>
            </w:r>
          </w:p>
        </w:tc>
        <w:tc>
          <w:p w14:paraId="001001BC" w14:textId="001001BD">
            <w:r>
              <w:t xml:space="preserve">MONTHS_DELAYED: 0 / 1-2 / 3-4 / 5-6</w:t>
            </w:r>
          </w:p>
        </w:tc>
        <w:tc>
          <w:p w14:paraId="001001BE" w14:textId="001001BF">
            <w:r>
              <w:t xml:space="preserve">0 / 1 / 2 / 3</w:t>
            </w:r>
          </w:p>
        </w:tc>
      </w:tr>
      <w:tr>
        <w:trPr/>
        <w:tc>
          <w:p w14:paraId="001001C0" w14:textId="001001C1">
            <w:r>
              <w:t xml:space="preserve">Recent Delinquency</w:t>
            </w:r>
          </w:p>
        </w:tc>
        <w:tc>
          <w:p w14:paraId="001001C2" w14:textId="001001C3">
            <w:r>
              <w:t xml:space="preserve">RECENT_DELINQUENT = 1 (PAY_0 &gt; 0)</w:t>
            </w:r>
          </w:p>
        </w:tc>
        <w:tc>
          <w:p w14:paraId="001001C4" w14:textId="001001C5">
            <w:r>
              <w:t xml:space="preserve">0 or 2</w:t>
            </w:r>
          </w:p>
        </w:tc>
      </w:tr>
      <w:tr>
        <w:trPr/>
        <w:tc>
          <w:p w14:paraId="001001C6" w14:textId="001001C7">
            <w:r>
              <w:t xml:space="preserve">Utilization</w:t>
            </w:r>
          </w:p>
        </w:tc>
        <w:tc>
          <w:p w14:paraId="001001C8" w14:textId="001001C9">
            <w:r>
              <w:t xml:space="preserve">UTILIZATION: &lt;=50% / 50-90% / &gt;90%</w:t>
            </w:r>
          </w:p>
        </w:tc>
        <w:tc>
          <w:p w14:paraId="001001CA" w14:textId="001001CB">
            <w:r>
              <w:t xml:space="preserve">0 / 1 / 2</w:t>
            </w:r>
          </w:p>
        </w:tc>
      </w:tr>
      <w:tr>
        <w:trPr/>
        <w:tc>
          <w:p w14:paraId="001001CC" w14:textId="001001CD">
            <w:r>
              <w:t xml:space="preserve">Payment Coverage</w:t>
            </w:r>
          </w:p>
        </w:tc>
        <w:tc>
          <w:p w14:paraId="001001CE" w14:textId="001001CF">
            <w:r>
              <w:t xml:space="preserve">PAY_COVERAGE: &gt;=50% / 20-50% / &lt;20%</w:t>
            </w:r>
          </w:p>
        </w:tc>
        <w:tc>
          <w:p w14:paraId="001001D0" w14:textId="001001D1">
            <w:r>
              <w:t xml:space="preserve">0 / 1 / 2</w:t>
            </w:r>
          </w:p>
        </w:tc>
      </w:tr>
    </w:tbl>
    <w:p w14:paraId="001001D2" w14:textId="001001D3">
      <w:pPr>
        <w:spacing w:after="160"/>
      </w:pPr>
      <w:r>
        <w:rPr>
          <w:sz w:val="22"/>
        </w:rPr>
        <w:t xml:space="preserve">Segment thresholds: Low Risk = score 0–2, Medium Risk = score 3–6, High Risk = score 7–13.</w:t>
      </w:r>
    </w:p>
    <w:p w14:paraId="001001D4" w14:textId="001001D5">
      <w:pPr>
        <w:spacing w:after="120"/>
      </w:pPr>
      <w:r>
        <w:rPr>
          <w:b/>
          <w:sz w:val="22"/>
        </w:rPr>
        <w:t xml:space="preserve">Segment Results (actual from 30,000-row dataset):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p w14:paraId="001001D6" w14:textId="001001D7">
            <w:r>
              <w:t xml:space="preserve">Segment</w:t>
            </w:r>
          </w:p>
        </w:tc>
        <w:tc>
          <w:p w14:paraId="001001D8" w14:textId="001001D9">
            <w:r>
              <w:t xml:space="preserve">Customers</w:t>
            </w:r>
          </w:p>
        </w:tc>
        <w:tc>
          <w:p w14:paraId="001001DA" w14:textId="001001DB">
            <w:r>
              <w:t xml:space="preserve">% Portfolio</w:t>
            </w:r>
          </w:p>
        </w:tc>
        <w:tc>
          <w:p w14:paraId="001001DC" w14:textId="001001DD">
            <w:r>
              <w:t xml:space="preserve">Default Rate</w:t>
            </w:r>
          </w:p>
        </w:tc>
        <w:tc>
          <w:p w14:paraId="001001DE" w14:textId="001001DF">
            <w:r>
              <w:t xml:space="preserve">Exposure (NT$)</w:t>
            </w:r>
          </w:p>
        </w:tc>
        <w:tc>
          <w:p w14:paraId="001001E0" w14:textId="001001E1">
            <w:r>
              <w:t xml:space="preserve">Avg Limit</w:t>
            </w:r>
          </w:p>
        </w:tc>
      </w:tr>
      <w:tr>
        <w:trPr/>
        <w:tc>
          <w:p w14:paraId="001001E2" w14:textId="001001E3">
            <w:r>
              <w:t xml:space="preserve">Low Risk</w:t>
            </w:r>
          </w:p>
        </w:tc>
        <w:tc>
          <w:p w14:paraId="001001E4" w14:textId="001001E5">
            <w:r>
              <w:t xml:space="preserve">13,874</w:t>
            </w:r>
          </w:p>
        </w:tc>
        <w:tc>
          <w:p w14:paraId="001001E6" w14:textId="001001E7">
            <w:r>
              <w:t xml:space="preserve">46.25%</w:t>
            </w:r>
          </w:p>
        </w:tc>
        <w:tc>
          <w:p w14:paraId="001001E8" w14:textId="001001E9">
            <w:r>
              <w:t xml:space="preserve">10.96%</w:t>
            </w:r>
          </w:p>
        </w:tc>
        <w:tc>
          <w:p w14:paraId="001001EA" w14:textId="001001EB">
            <w:r>
              <w:t xml:space="preserve">NT$2.953B</w:t>
            </w:r>
          </w:p>
        </w:tc>
        <w:tc>
          <w:p w14:paraId="001001EC" w14:textId="001001ED">
            <w:r>
              <w:t xml:space="preserve">NT$212,811</w:t>
            </w:r>
          </w:p>
        </w:tc>
      </w:tr>
      <w:tr>
        <w:trPr/>
        <w:tc>
          <w:p w14:paraId="001001EE" w14:textId="001001EF">
            <w:r>
              <w:t xml:space="preserve">Medium Risk</w:t>
            </w:r>
          </w:p>
        </w:tc>
        <w:tc>
          <w:p w14:paraId="001001F0" w14:textId="001001F1">
            <w:r>
              <w:t xml:space="preserve">10,808</w:t>
            </w:r>
          </w:p>
        </w:tc>
        <w:tc>
          <w:p w14:paraId="001001F2" w14:textId="001001F3">
            <w:r>
              <w:t xml:space="preserve">36.03%</w:t>
            </w:r>
          </w:p>
        </w:tc>
        <w:tc>
          <w:p w14:paraId="001001F4" w14:textId="001001F5">
            <w:r>
              <w:t xml:space="preserve">19.07%</w:t>
            </w:r>
          </w:p>
        </w:tc>
        <w:tc>
          <w:p w14:paraId="001001F6" w14:textId="001001F7">
            <w:r>
              <w:t xml:space="preserve">NT$1.560B</w:t>
            </w:r>
          </w:p>
        </w:tc>
        <w:tc>
          <w:p w14:paraId="001001F8" w14:textId="001001F9">
            <w:r>
              <w:t xml:space="preserve">NT$144,321</w:t>
            </w:r>
          </w:p>
        </w:tc>
      </w:tr>
      <w:tr>
        <w:trPr/>
        <w:tc>
          <w:p w14:paraId="001001FA" w14:textId="001001FB">
            <w:r>
              <w:t xml:space="preserve">High Risk</w:t>
            </w:r>
          </w:p>
        </w:tc>
        <w:tc>
          <w:p w14:paraId="001001FC" w14:textId="001001FD">
            <w:r>
              <w:t xml:space="preserve">5,318</w:t>
            </w:r>
          </w:p>
        </w:tc>
        <w:tc>
          <w:p w14:paraId="001001FE" w14:textId="001001FF">
            <w:r>
              <w:t xml:space="preserve">17.73%</w:t>
            </w:r>
          </w:p>
        </w:tc>
        <w:tc>
          <w:p w14:paraId="00100200" w14:textId="00100201">
            <w:r>
              <w:t xml:space="preserve">57.43%</w:t>
            </w:r>
          </w:p>
        </w:tc>
        <w:tc>
          <w:p w14:paraId="00100202" w14:textId="00100203">
            <w:r>
              <w:t xml:space="preserve">NT$0.512B</w:t>
            </w:r>
          </w:p>
        </w:tc>
        <w:tc>
          <w:p w14:paraId="00100204" w14:textId="00100205">
            <w:r>
              <w:t xml:space="preserve">NT$96,309</w:t>
            </w:r>
          </w:p>
        </w:tc>
      </w:tr>
    </w:tbl>
    <w:p w14:paraId="00100206" w14:textId="00100207">
      <w:pPr>
        <w:spacing w:after="240"/>
      </w:pPr>
      <w:r>
        <w:rPr>
          <w:b/>
          <w:sz w:val="22"/>
        </w:rPr>
        <w:t xml:space="preserve">Key concentration finding: High Risk customers (17.7% of portfolio) account for 46.0% of all defaults. The segmentation framework achieves a 5.24x separation in default rates between the High Risk (57.43%) and Low Risk (10.96%) segments.</w:t>
      </w:r>
    </w:p>
    <w:p w14:paraId="00100208" w14:textId="00100209">
      <w:pPr>
        <w:pStyle w:val="Heading1"/>
        <w:spacing w:before="240" w:after="160"/>
      </w:pPr>
      <w:r>
        <w:rPr>
          <w:b/>
          <w:sz w:val="36"/>
        </w:rPr>
        <w:t xml:space="preserve">12. Key Findings</w:t>
      </w:r>
    </w:p>
    <w:p w14:paraId="0010020A" w14:textId="0010020B">
      <w:pPr>
        <w:numPr>
          <w:ilvl w:val="0"/>
          <w:numId w:val="4"/>
        </w:numPr>
        <w:spacing w:after="80"/>
      </w:pPr>
      <w:r>
        <w:rPr>
          <w:sz w:val="22"/>
        </w:rPr>
        <w:t xml:space="preserve">Finding 1 — Portfolio Default Rate: The portfolio carries a 22.12% overall default rate. Total credit exposure is NT$5.02 billion across 30,000 customers.</w:t>
      </w:r>
    </w:p>
    <w:p w14:paraId="0010020C" w14:textId="0010020D">
      <w:pPr>
        <w:numPr>
          <w:ilvl w:val="0"/>
          <w:numId w:val="4"/>
        </w:numPr>
        <w:spacing w:after="80"/>
      </w:pPr>
      <w:r>
        <w:rPr>
          <w:sz w:val="22"/>
        </w:rPr>
        <w:t xml:space="preserve">Finding 2 — Risk Concentration: High Risk customers (17.7% of portfolio) account for 46.0% of all defaults — a concentration ratio of 2.6x. The ≤NT$50K credit-limit band contains 25.6% of customers but contributes 36.8% of all defaults.</w:t>
      </w:r>
    </w:p>
    <w:p w14:paraId="0010020E" w14:textId="0010020F">
      <w:pPr>
        <w:numPr>
          <w:ilvl w:val="0"/>
          <w:numId w:val="4"/>
        </w:numPr>
        <w:spacing w:after="80"/>
      </w:pPr>
      <w:r>
        <w:rPr>
          <w:sz w:val="22"/>
        </w:rPr>
        <w:t xml:space="preserve">Finding 3 — Repayment Behavior is the Dominant Signal: MONTHS_DELAYED has the highest correlation with default (r = +0.398). A PAY_0 status of 2 (one billing cycle behind) is associated with a 69.1% default rate — more than 3x the portfolio average.</w:t>
      </w:r>
    </w:p>
    <w:p w14:paraId="00100210" w14:textId="00100211">
      <w:pPr>
        <w:numPr>
          <w:ilvl w:val="0"/>
          <w:numId w:val="4"/>
        </w:numPr>
        <w:spacing w:after="80"/>
      </w:pPr>
      <w:r>
        <w:rPr>
          <w:sz w:val="22"/>
        </w:rPr>
        <w:t xml:space="preserve">Finding 4 — Credit Limit Inverse Relationship: Defaulters have a median credit limit of NT$90,000 vs NT$150,000 for non-defaulters (Mann-Whitney U, p&lt;0.0001). The ≤NT$50K band has a 31.79% default rate vs 11.17% for the &gt;NT$500K band.</w:t>
      </w:r>
    </w:p>
    <w:p w14:paraId="00100212" w14:textId="00100213">
      <w:pPr>
        <w:numPr>
          <w:ilvl w:val="0"/>
          <w:numId w:val="4"/>
        </w:numPr>
        <w:spacing w:after="80"/>
      </w:pPr>
      <w:r>
        <w:rPr>
          <w:sz w:val="22"/>
        </w:rPr>
        <w:t xml:space="preserve">Finding 5 — Utilization Risk Threshold: Default rates increase materially above 75% utilization (30.7–34.2%), compared to 16.7% for the 0–25% utilization band.</w:t>
      </w:r>
    </w:p>
    <w:p w14:paraId="00100214" w14:textId="00100215">
      <w:pPr>
        <w:numPr>
          <w:ilvl w:val="0"/>
          <w:numId w:val="4"/>
        </w:numPr>
        <w:spacing w:after="240"/>
      </w:pPr>
      <w:r>
        <w:rPr>
          <w:sz w:val="22"/>
        </w:rPr>
        <w:t xml:space="preserve">Finding 6 — Demographics Have Small Effect Sizes: All demographic variables are statistically associated with default (all p&lt;0.0001), but correlation coefficients and chi-square effect sizes are small compared to behavioral variables.</w:t>
      </w:r>
    </w:p>
    <w:p w14:paraId="00100216" w14:textId="00100217">
      <w:pPr>
        <w:pStyle w:val="Heading1"/>
        <w:spacing w:before="240" w:after="160"/>
      </w:pPr>
      <w:r>
        <w:rPr>
          <w:b/>
          <w:sz w:val="36"/>
        </w:rPr>
        <w:t xml:space="preserve">13. Power BI Dashboard</w:t>
      </w:r>
    </w:p>
    <w:p w14:paraId="00100218" w14:textId="00100219">
      <w:pPr>
        <w:spacing w:after="160"/>
      </w:pPr>
      <w:r>
        <w:rPr>
          <w:b/>
          <w:sz w:val="22"/>
        </w:rPr>
        <w:t xml:space="preserve">An interactive Power BI dashboard specification has been prepared. Note: A true .pbix binary file cannot be programmatically generated outside Power BI Desktop. The implementation-ready specification in powerbi/dashboard_documentation.md serves as the complete substitute.</w:t>
      </w:r>
    </w:p>
    <w:p w14:paraId="0010021A" w14:textId="0010021B">
      <w:pPr>
        <w:spacing w:after="120"/>
      </w:pPr>
      <w:r>
        <w:rPr>
          <w:sz w:val="22"/>
        </w:rPr>
        <w:t xml:space="preserve">The dashboard contains 5 pages designed for a banking/financial services audience:</w:t>
      </w:r>
    </w:p>
    <w:p w14:paraId="0010021C" w14:textId="0010021D">
      <w:pPr>
        <w:numPr>
          <w:ilvl w:val="0"/>
          <w:numId w:val="5"/>
        </w:numPr>
        <w:spacing w:after="80"/>
      </w:pPr>
      <w:r>
        <w:rPr>
          <w:sz w:val="22"/>
        </w:rPr>
        <w:t xml:space="preserve">Page 1 — Executive Risk Overview: 6 KPI cards (Total Customers, Total Exposure, Defaulted Customers, Default Rate 22.12%, Average Credit Limit, Average Utilization), donut chart, default rate by credit-limit band, risk segment treemap, segment default rates, exposure distribution. 6 slicers.</w:t>
      </w:r>
    </w:p>
    <w:p w14:paraId="0010021E" w14:textId="0010021F">
      <w:pPr>
        <w:numPr>
          <w:ilvl w:val="0"/>
          <w:numId w:val="5"/>
        </w:numPr>
        <w:spacing w:after="80"/>
      </w:pPr>
      <w:r>
        <w:rPr>
          <w:sz w:val="22"/>
        </w:rPr>
        <w:t xml:space="preserve">Page 2 — Risk Segmentation: Segment comparison matrix (Low 10.96%, Medium 19.07%, High 57.43%), concentration chart (17.7% customers → 46.0% defaults), risk score histogram, utilization and payment coverage by segment.</w:t>
      </w:r>
    </w:p>
    <w:p w14:paraId="00100220" w14:textId="00100221">
      <w:pPr>
        <w:numPr>
          <w:ilvl w:val="0"/>
          <w:numId w:val="5"/>
        </w:numPr>
        <w:spacing w:after="80"/>
      </w:pPr>
      <w:r>
        <w:rPr>
          <w:sz w:val="22"/>
        </w:rPr>
        <w:t xml:space="preserve">Page 3 — Repayment Behavior: PAY_0 default rate chart, PAY status heatmap across 6 months by segment, MONTHS_DELAYED distribution, MAX_PAY_DELAY analysis, delinquency scatter plot.</w:t>
      </w:r>
    </w:p>
    <w:p w14:paraId="00100222" w14:textId="00100223">
      <w:pPr>
        <w:numPr>
          <w:ilvl w:val="0"/>
          <w:numId w:val="5"/>
        </w:numPr>
        <w:spacing w:after="80"/>
      </w:pPr>
      <w:r>
        <w:rPr>
          <w:sz w:val="22"/>
        </w:rPr>
        <w:t xml:space="preserve">Page 4 — Customer Portfolio Deep Dive: Drill-through page accessible from all other pages. Full customer profile table with conditional formatting, utilization vs payment coverage scatter.</w:t>
      </w:r>
    </w:p>
    <w:p w14:paraId="00100224" w14:textId="00100225">
      <w:pPr>
        <w:numPr>
          <w:ilvl w:val="0"/>
          <w:numId w:val="5"/>
        </w:numPr>
        <w:spacing w:after="160"/>
      </w:pPr>
      <w:r>
        <w:rPr>
          <w:sz w:val="22"/>
        </w:rPr>
        <w:t xml:space="preserve">Page 5 — Business Insights: 8 annotated insight blocks, behavioral pattern bar chart, concentration double bar, key metrics matrix, regulatory disclaimer.</w:t>
      </w:r>
    </w:p>
    <w:p w14:paraId="00100226" w14:textId="00100227">
      <w:pPr>
        <w:spacing w:after="240"/>
      </w:pPr>
      <w:r>
        <w:rPr>
          <w:sz w:val="22"/>
        </w:rPr>
        <w:t xml:space="preserve">Design system: Navy #1A2744 headers, risk colors green/amber/red (#22A05B / #F5A623 / #D9232D), Segoe UI typography, 1280x720 canvas. 40+ DAX measures documented in dax_measures.md.</w:t>
      </w:r>
    </w:p>
    <w:p w14:paraId="00100228" w14:textId="00100229">
      <w:pPr>
        <w:pStyle w:val="Heading1"/>
        <w:spacing w:before="240" w:after="160"/>
      </w:pPr>
      <w:r>
        <w:rPr>
          <w:b/>
          <w:sz w:val="36"/>
        </w:rPr>
        <w:t xml:space="preserve">14. SQL Analysis</w:t>
      </w:r>
    </w:p>
    <w:p w14:paraId="0010022A" w14:textId="0010022B">
      <w:pPr>
        <w:spacing w:after="240"/>
      </w:pPr>
      <w:r>
        <w:rPr>
          <w:sz w:val="22"/>
        </w:rPr>
        <w:t xml:space="preserve">The SQL analysis script (risk_analysis.sql, PostgreSQL 14+) contains 14 named queries and 5 bonus queries. It targets the credit_card_customers table loaded from credit_card_enriched.csv. Key queries include: overall portfolio KPIs; default rate calculations; credit exposure by risk segment (NT$2.953B / NT$1.560B / NT$0.512B); default rates by education, age group, credit-limit band, and PAY_0 status; high-utilization customer analysis; delinquency segmentation; risk segment summary using CTEs; top risk patterns using window functions and RANK(); portfolio concentration analysis; customer-level analytical profile; monthly billing trend using UNION ALL; and segments with default rate &gt;40% using HAVING.</w:t>
      </w:r>
    </w:p>
    <w:p w14:paraId="0010022C" w14:textId="0010022D">
      <w:pPr>
        <w:pStyle w:val="Heading1"/>
        <w:spacing w:before="240" w:after="160"/>
      </w:pPr>
      <w:r>
        <w:rPr>
          <w:b/>
          <w:sz w:val="36"/>
        </w:rPr>
        <w:t xml:space="preserve">15. Business Recommendations</w:t>
      </w:r>
    </w:p>
    <w:p w14:paraId="0010022E" w14:textId="0010022F">
      <w:pPr>
        <w:spacing w:after="160"/>
      </w:pPr>
      <w:r>
        <w:rPr>
          <w:b/>
          <w:color w:val="D9232D"/>
          <w:sz w:val="22"/>
        </w:rPr>
        <w:t xml:space="preserve">All recommendations are based solely on patterns observed in the actual dataset. They must be validated against regulatory requirements, credit policies, and fair-lending standards before any operational implementation.</w:t>
      </w:r>
    </w:p>
    <w:p w14:paraId="00100230" w14:textId="00100231">
      <w:pPr>
        <w:numPr>
          <w:ilvl w:val="0"/>
          <w:numId w:val="6"/>
        </w:numPr>
        <w:spacing w:after="80"/>
      </w:pPr>
      <w:r>
        <w:rPr>
          <w:sz w:val="22"/>
        </w:rPr>
        <w:t xml:space="preserve">Recommendation 1 — Prioritize monitoring of the High Risk segment: 17.7% of the portfolio generates 46.0% of all defaults. Collections and credit-risk teams should prioritize this segment for proactive outreach.</w:t>
      </w:r>
    </w:p>
    <w:p w14:paraId="00100232" w14:textId="00100233">
      <w:pPr>
        <w:numPr>
          <w:ilvl w:val="0"/>
          <w:numId w:val="6"/>
        </w:numPr>
        <w:spacing w:after="80"/>
      </w:pPr>
      <w:r>
        <w:rPr>
          <w:sz w:val="22"/>
        </w:rPr>
        <w:t xml:space="preserve">Recommendation 2 — Flag PAY_0 &gt;= 2 as an early-warning trigger: When a customer's most-recent repayment status reaches code 2 or above, the observed default probability exceeds 69.1%. An automated alert at this threshold could enable collections contact before the situation deteriorates.</w:t>
      </w:r>
    </w:p>
    <w:p w14:paraId="00100234" w14:textId="00100235">
      <w:pPr>
        <w:numPr>
          <w:ilvl w:val="0"/>
          <w:numId w:val="6"/>
        </w:numPr>
        <w:spacing w:after="80"/>
      </w:pPr>
      <w:r>
        <w:rPr>
          <w:sz w:val="22"/>
        </w:rPr>
        <w:t xml:space="preserve">Recommendation 3 — Treat repeat delinquency (3M+) as a higher priority signal: Customers delayed in 3 or more of 6 months (12.5% of portfolio) have default rates exceeding 50.9%. MONTHS_DELAYED is more robust than any single monthly PAY status.</w:t>
      </w:r>
    </w:p>
    <w:p w14:paraId="00100236" w14:textId="00100237">
      <w:pPr>
        <w:numPr>
          <w:ilvl w:val="0"/>
          <w:numId w:val="6"/>
        </w:numPr>
        <w:spacing w:after="80"/>
      </w:pPr>
      <w:r>
        <w:rPr>
          <w:sz w:val="22"/>
        </w:rPr>
        <w:t xml:space="preserve">Recommendation 4 — Review credit-limit policies for the &lt;=NT$50K band: This band shows a 31.79% default rate. Portfolio management should review whether initial credit-limit settings for this band adequately reflect risk at origination.</w:t>
      </w:r>
    </w:p>
    <w:p w14:paraId="00100238" w14:textId="00100239">
      <w:pPr>
        <w:numPr>
          <w:ilvl w:val="0"/>
          <w:numId w:val="6"/>
        </w:numPr>
        <w:spacing w:after="80"/>
      </w:pPr>
      <w:r>
        <w:rPr>
          <w:sz w:val="22"/>
        </w:rPr>
        <w:t xml:space="preserve">Recommendation 5 — Monitor utilization above 75%: Automated utilization alerts could feed into customer engagement workflows (payment reminders, credit counseling).</w:t>
      </w:r>
    </w:p>
    <w:p w14:paraId="0010023A" w14:textId="0010023B">
      <w:pPr>
        <w:numPr>
          <w:ilvl w:val="0"/>
          <w:numId w:val="6"/>
        </w:numPr>
        <w:spacing w:after="80"/>
      </w:pPr>
      <w:r>
        <w:rPr>
          <w:sz w:val="22"/>
        </w:rPr>
        <w:t xml:space="preserve">Recommendation 6 — Use behavioral signals ahead of demographic signals: Repayment behavior explains far more variance than demographics and should be the primary input to any monitoring or segmentation framework.</w:t>
      </w:r>
    </w:p>
    <w:p w14:paraId="0010023C" w14:textId="0010023D">
      <w:pPr>
        <w:numPr>
          <w:ilvl w:val="0"/>
          <w:numId w:val="6"/>
        </w:numPr>
        <w:spacing w:after="240"/>
      </w:pPr>
      <w:r>
        <w:rPr>
          <w:sz w:val="22"/>
        </w:rPr>
        <w:t xml:space="preserve">Recommendation 7 — Apply early nudges to Medium Risk customers: 36.0% of the portfolio (10,808 customers) is in the Medium Risk segment with a 19.07% default rate. Early-stage nudges may prevent migration to High Risk.</w:t>
      </w:r>
    </w:p>
    <w:p w14:paraId="0010023E" w14:textId="0010023F">
      <w:pPr>
        <w:pStyle w:val="Heading1"/>
        <w:spacing w:before="240" w:after="160"/>
      </w:pPr>
      <w:r>
        <w:rPr>
          <w:b/>
          <w:sz w:val="36"/>
        </w:rPr>
        <w:t xml:space="preserve">16. Limitations</w:t>
      </w:r>
    </w:p>
    <w:p w14:paraId="00100240" w14:textId="00100241">
      <w:pPr>
        <w:numPr>
          <w:ilvl w:val="0"/>
          <w:numId w:val="7"/>
        </w:numPr>
        <w:spacing w:after="80"/>
      </w:pPr>
      <w:r>
        <w:rPr>
          <w:sz w:val="22"/>
        </w:rPr>
        <w:t xml:space="preserve">Temporal snapshot: The dataset covers only six months (April–September 2005). Repayment behaviors may have changed over time and this analysis does not constitute a longitudinal study.</w:t>
      </w:r>
    </w:p>
    <w:p w14:paraId="00100242" w14:textId="00100243">
      <w:pPr>
        <w:numPr>
          <w:ilvl w:val="0"/>
          <w:numId w:val="7"/>
        </w:numPr>
        <w:spacing w:after="80"/>
      </w:pPr>
      <w:r>
        <w:rPr>
          <w:sz w:val="22"/>
        </w:rPr>
        <w:t xml:space="preserve">Single geography: Data is from Taiwan; findings may not generalize to credit-card portfolios in other markets or regulatory environments.</w:t>
      </w:r>
    </w:p>
    <w:p w14:paraId="00100244" w14:textId="00100245">
      <w:pPr>
        <w:numPr>
          <w:ilvl w:val="0"/>
          <w:numId w:val="7"/>
        </w:numPr>
        <w:spacing w:after="80"/>
      </w:pPr>
      <w:r>
        <w:rPr>
          <w:sz w:val="22"/>
        </w:rPr>
        <w:t xml:space="preserve">Observational study: All statistical associations are correlational. No causal inferences are made or implied anywhere in this analysis.</w:t>
      </w:r>
    </w:p>
    <w:p w14:paraId="00100246" w14:textId="00100247">
      <w:pPr>
        <w:numPr>
          <w:ilvl w:val="0"/>
          <w:numId w:val="7"/>
        </w:numPr>
        <w:spacing w:after="80"/>
      </w:pPr>
      <w:r>
        <w:rPr>
          <w:sz w:val="22"/>
        </w:rPr>
        <w:t xml:space="preserve">Undocumented codes: EDUCATION codes 0, 5, 6 and MARRIAGE code 0 are not defined in the original paper. These 399 rows were retained with annotation but may introduce minor labeling noise.</w:t>
      </w:r>
    </w:p>
    <w:p w14:paraId="00100248" w14:textId="00100249">
      <w:pPr>
        <w:numPr>
          <w:ilvl w:val="0"/>
          <w:numId w:val="7"/>
        </w:numPr>
        <w:spacing w:after="80"/>
      </w:pPr>
      <w:r>
        <w:rPr>
          <w:sz w:val="22"/>
        </w:rPr>
        <w:t xml:space="preserve">PAY_1 absent: The dataset has no PAY_1 column; the naming gap (PAY_0 → PAY_2) is a known dataset characteristic, not an error in this analysis.</w:t>
      </w:r>
    </w:p>
    <w:p w14:paraId="0010024A" w14:textId="0010024B">
      <w:pPr>
        <w:numPr>
          <w:ilvl w:val="0"/>
          <w:numId w:val="7"/>
        </w:numPr>
        <w:spacing w:after="80"/>
      </w:pPr>
      <w:r>
        <w:rPr>
          <w:sz w:val="22"/>
        </w:rPr>
        <w:t xml:space="preserve">Risk segmentation: The RISK_SCORE framework is an analytical segmentation tool only — not a validated formal credit-scoring model. Thresholds were chosen to produce meaningful default-rate separation, not optimized for any bank-specific credit policy.</w:t>
      </w:r>
    </w:p>
    <w:p w14:paraId="0010024C" w14:textId="0010024D">
      <w:pPr>
        <w:numPr>
          <w:ilvl w:val="0"/>
          <w:numId w:val="7"/>
        </w:numPr>
        <w:spacing w:after="240"/>
      </w:pPr>
      <w:r>
        <w:rPr>
          <w:sz w:val="22"/>
        </w:rPr>
        <w:t xml:space="preserve">No .pbix file: Power BI Desktop binary files cannot be generated programmatically. The full specification in powerbi/dashboard_documentation.md serves as the implementation-ready substitute.</w:t>
      </w:r>
    </w:p>
    <w:p w14:paraId="0010024E" w14:textId="0010024F">
      <w:pPr>
        <w:pStyle w:val="Heading1"/>
        <w:spacing w:before="240" w:after="160"/>
      </w:pPr>
      <w:r>
        <w:rPr>
          <w:b/>
          <w:sz w:val="36"/>
        </w:rPr>
        <w:t xml:space="preserve">17. Conclusion</w:t>
      </w:r>
    </w:p>
    <w:p w14:paraId="00100250" w14:textId="00100251">
      <w:pPr>
        <w:spacing w:after="160"/>
      </w:pPr>
      <w:r>
        <w:rPr>
          <w:sz w:val="22"/>
        </w:rPr>
        <w:t xml:space="preserve">This analysis of the UCI Default of Credit Card Clients dataset (30,000 records, April–September 2005) provides a comprehensive data-driven view of credit-card portfolio risk. All findings are derived from the actual dataset; no results were fabricated or approximated.</w:t>
      </w:r>
    </w:p>
    <w:p w14:paraId="00100252" w14:textId="00100253">
      <w:pPr>
        <w:spacing w:after="160"/>
      </w:pPr>
      <w:r>
        <w:rPr>
          <w:sz w:val="22"/>
        </w:rPr>
        <w:t xml:space="preserve">The portfolio default rate of 22.12% is elevated. Risk is highly concentrated: the High Risk segment (17.7% of customers, 46.0% of defaults) is the primary driver. Repayment-behavior variables — especially MONTHS_DELAYED (r = +0.398) and PAY_0 status — are far more predictive of default than demographic variables. Credit limit is inversely related to default, consistent with its role as an underwriting signal. The analytical risk-segmentation framework achieves a 5.24x separation in default rates between the High Risk and Low Risk segments using only five transparent, interpretable behavioral components.</w:t>
      </w:r>
    </w:p>
    <w:p w14:paraId="00100254" w14:textId="00100255">
      <w:pPr>
        <w:spacing w:after="240"/>
      </w:pPr>
      <w:r>
        <w:rPr>
          <w:sz w:val="22"/>
        </w:rPr>
        <w:t xml:space="preserve">The project demonstrates: Python-based data analytics and feature engineering, statistical hypothesis testing, transparent risk segmentation, SQL-based portfolio analysis, Power BI dashboard specification with full interactivity, DAX measure development, and professional project documentation and GitHub packaging — constituting a complete, portfolio-ready data analytics deliverable for the banking/credit risk domain.</w:t>
      </w:r>
    </w:p>
    <w:p w14:paraId="00100256" w14:textId="00100257">
      <w:pPr>
        <w:pStyle w:val="Heading1"/>
        <w:spacing w:before="240" w:after="160"/>
      </w:pPr>
      <w:r>
        <w:rPr>
          <w:b/>
          <w:sz w:val="36"/>
        </w:rPr>
        <w:t xml:space="preserve">18. Dataset Citation</w:t>
      </w:r>
    </w:p>
    <w:p w14:paraId="00100258" w14:textId="00100259">
      <w:pPr>
        <w:spacing w:after="160"/>
      </w:pPr>
      <w:r>
        <w:rPr>
          <w:sz w:val="22"/>
        </w:rPr>
        <w:t xml:space="preserve">Yeh, I-Cheng (2016). Default of Credit Card Clients. UCI Machine Learning Repository. DOI: https://doi.org/10.24432/C55S3H</w:t>
      </w:r>
    </w:p>
    <w:p w14:paraId="0010025A" w14:textId="0010025B">
      <w:pPr>
        <w:spacing w:after="160"/>
      </w:pPr>
      <w:r>
        <w:rPr>
          <w:sz w:val="22"/>
        </w:rPr>
        <w:t xml:space="preserve">The dataset is freely available at: https://archive.ics.uci.edu/dataset/350/default+of+credit+card+clients</w:t>
      </w:r>
    </w:p>
    <w:p w14:paraId="0010025C" w14:textId="0010025D">
      <w:pPr>
        <w:spacing w:after="240"/>
      </w:pPr>
      <w:r>
        <w:rPr>
          <w:sz w:val="22"/>
        </w:rPr>
        <w:t xml:space="preserve">This project is licensed under the MIT License. The UCI dataset has its own terms; see data/README.md in the GitHub repository for full citation and download instructions.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21cd94ca2f147dd" /><Relationship Type="http://schemas.openxmlformats.org/officeDocument/2006/relationships/styles" Target="/word/styles.xml" Id="Reb3f81e60af74d56" /><Relationship Type="http://schemas.openxmlformats.org/officeDocument/2006/relationships/theme" Target="/word/theme/theme1.xml" Id="Rc6854ed19a66495a" /><Relationship Type="http://schemas.openxmlformats.org/officeDocument/2006/relationships/numbering" Target="/word/numbering.xml" Id="R7728603c2ae848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2026-09-22T00:05:14Z</dcterms:created>
  <cp:lastModifiedBy>OfficeCLI</cp:lastModifiedBy>
  <dcterms:modified xsi:type="dcterms:W3CDTF">2026-09-22T00:05:14Z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2026-09-22T00:08:03Z</vt:lpwstr>
  </op:property>
</op:Properties>
</file>