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首行缩进"/>
        <w:ind w:firstLine="346"/>
        <w:jc w:val="center"/>
        <w:rPr>
          <w:rFonts w:ascii="楷体" w:cs="楷体" w:hAnsi="楷体" w:eastAsia="楷体"/>
          <w:b w:val="1"/>
          <w:bCs w:val="1"/>
          <w:sz w:val="32"/>
          <w:szCs w:val="32"/>
        </w:rPr>
      </w:pPr>
      <w:r>
        <w:rPr>
          <w:rFonts w:ascii="楷体" w:cs="楷体" w:hAnsi="楷体" w:eastAsia="楷体"/>
          <w:b w:val="1"/>
          <w:bCs w:val="1"/>
          <w:sz w:val="32"/>
          <w:szCs w:val="32"/>
          <w:rtl w:val="0"/>
          <w:lang w:val="zh-TW" w:eastAsia="zh-TW"/>
        </w:rPr>
        <w:t>迭代评估报告</w:t>
      </w:r>
    </w:p>
    <w:p>
      <w:pPr>
        <w:pStyle w:val="正常"/>
        <w:jc w:val="right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　　　　　　　　</w:t>
      </w:r>
      <w:r>
        <w:rPr>
          <w:rFonts w:ascii="楷体" w:cs="楷体" w:hAnsi="楷体" w:eastAsia="楷体"/>
          <w:sz w:val="24"/>
          <w:szCs w:val="24"/>
          <w:rtl w:val="0"/>
          <w:lang w:val="zh-TW" w:eastAsia="zh-TW"/>
        </w:rPr>
        <w:t>　　　　　　　　　　评估日期：</w:t>
      </w:r>
      <w:r>
        <w:rPr>
          <w:rFonts w:ascii="楷体" w:cs="楷体" w:hAnsi="楷体" w:eastAsia="楷体"/>
          <w:sz w:val="24"/>
          <w:szCs w:val="24"/>
          <w:rtl w:val="0"/>
          <w:lang w:val="en-US"/>
        </w:rPr>
        <w:t>2014/11/23</w:t>
      </w:r>
    </w:p>
    <w:tbl>
      <w:tblPr>
        <w:tblW w:w="8300" w:type="dxa"/>
        <w:jc w:val="righ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616"/>
        <w:gridCol w:w="1617"/>
        <w:gridCol w:w="1803"/>
        <w:gridCol w:w="3264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161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460" w:lineRule="atLeast"/>
              <w:jc w:val="center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项目组号</w:t>
            </w:r>
          </w:p>
        </w:tc>
        <w:tc>
          <w:tcPr>
            <w:tcW w:type="dxa" w:w="1616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460" w:lineRule="atLeast"/>
              <w:jc w:val="center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</w:t>
            </w:r>
          </w:p>
        </w:tc>
        <w:tc>
          <w:tcPr>
            <w:tcW w:type="dxa" w:w="1802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460" w:lineRule="atLeast"/>
              <w:jc w:val="center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迭代名称</w:t>
            </w:r>
          </w:p>
        </w:tc>
        <w:tc>
          <w:tcPr>
            <w:tcW w:type="dxa" w:w="3263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460" w:lineRule="atLeast"/>
              <w:jc w:val="center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第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二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次迭代（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精化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阶段）</w:t>
            </w:r>
          </w:p>
        </w:tc>
      </w:tr>
      <w:tr>
        <w:tblPrEx>
          <w:shd w:val="clear" w:color="auto" w:fill="auto"/>
        </w:tblPrEx>
        <w:trPr>
          <w:trHeight w:val="703" w:hRule="atLeast"/>
        </w:trPr>
        <w:tc>
          <w:tcPr>
            <w:tcW w:type="dxa" w:w="161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460" w:lineRule="atLeast"/>
              <w:jc w:val="center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实际起止日期</w:t>
            </w:r>
          </w:p>
        </w:tc>
        <w:tc>
          <w:tcPr>
            <w:tcW w:type="dxa" w:w="6683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line="460" w:lineRule="atLeast"/>
              <w:jc w:val="center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2014/11/10-2014/11/23</w:t>
            </w:r>
          </w:p>
        </w:tc>
      </w:tr>
      <w:tr>
        <w:tblPrEx>
          <w:shd w:val="clear" w:color="auto" w:fill="auto"/>
        </w:tblPrEx>
        <w:trPr>
          <w:trHeight w:val="583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after="100"/>
              <w:outlineLvl w:val="0"/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计划达成情况：（是否按时按质完成迭代计划）</w:t>
            </w:r>
          </w:p>
          <w:p>
            <w:pPr>
              <w:pStyle w:val="正常"/>
              <w:outlineLvl w:val="0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按时按质完成迭代计划。</w:t>
            </w:r>
          </w:p>
        </w:tc>
      </w:tr>
      <w:tr>
        <w:tblPrEx>
          <w:shd w:val="clear" w:color="auto" w:fill="auto"/>
        </w:tblPrEx>
        <w:trPr>
          <w:trHeight w:val="1110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after="100"/>
              <w:outlineLvl w:val="0"/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需求实现情况：（列出本次迭代实现的功能）</w:t>
            </w:r>
          </w:p>
          <w:p>
            <w:pPr>
              <w:pStyle w:val="正常"/>
              <w:outlineLvl w:val="0"/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系统技术原型（包含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2D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部分和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3D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部分）</w:t>
            </w:r>
          </w:p>
          <w:p>
            <w:pPr>
              <w:pStyle w:val="正常"/>
              <w:outlineLvl w:val="0"/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《软件架构文档》</w:t>
            </w:r>
          </w:p>
          <w:p>
            <w:pPr>
              <w:pStyle w:val="正常"/>
              <w:outlineLvl w:val="0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《软件需求规约》</w:t>
            </w:r>
          </w:p>
        </w:tc>
      </w:tr>
      <w:tr>
        <w:tblPrEx>
          <w:shd w:val="clear" w:color="auto" w:fill="auto"/>
        </w:tblPrEx>
        <w:trPr>
          <w:trHeight w:val="1779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after="100"/>
              <w:outlineLvl w:val="0"/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度量结果：</w:t>
            </w:r>
          </w:p>
          <w:p>
            <w:pPr>
              <w:pStyle w:val="正常"/>
              <w:outlineLvl w:val="0"/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本次迭代新增或修改的源代码行数：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1800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Javascript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）</w:t>
            </w:r>
          </w:p>
          <w:p>
            <w:pPr>
              <w:pStyle w:val="正常"/>
              <w:outlineLvl w:val="0"/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本次迭代评审发现的缺陷数：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  <w:p>
            <w:pPr>
              <w:pStyle w:val="正常"/>
              <w:outlineLvl w:val="0"/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本次迭代集成测试和系统测试发现的缺陷数：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  <w:p>
            <w:pPr>
              <w:pStyle w:val="正常"/>
              <w:outlineLvl w:val="0"/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尚未修复的缺陷数：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</w:p>
          <w:p>
            <w:pPr>
              <w:pStyle w:val="正常"/>
              <w:outlineLvl w:val="0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本次迭代投入的人月数：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4*0.5=2 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人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月</w:t>
            </w:r>
          </w:p>
        </w:tc>
      </w:tr>
      <w:tr>
        <w:tblPrEx>
          <w:shd w:val="clear" w:color="auto" w:fill="auto"/>
        </w:tblPrEx>
        <w:trPr>
          <w:trHeight w:val="583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after="100"/>
              <w:outlineLvl w:val="0"/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问题、变更和返工：（遇到的问题、发生的变更、是否需要返工等）</w:t>
            </w:r>
          </w:p>
          <w:p>
            <w:pPr>
              <w:pStyle w:val="正常"/>
              <w:outlineLvl w:val="0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无</w:t>
            </w:r>
          </w:p>
        </w:tc>
      </w:tr>
      <w:tr>
        <w:tblPrEx>
          <w:shd w:val="clear" w:color="auto" w:fill="auto"/>
        </w:tblPrEx>
        <w:trPr>
          <w:trHeight w:val="593" w:hRule="atLeast"/>
        </w:trPr>
        <w:tc>
          <w:tcPr>
            <w:tcW w:type="dxa" w:w="8300"/>
            <w:gridSpan w:val="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常"/>
              <w:spacing w:after="100"/>
              <w:outlineLvl w:val="0"/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楷体" w:cs="楷体" w:hAnsi="楷体" w:eastAsia="楷体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经验和教训：</w:t>
            </w:r>
          </w:p>
          <w:p>
            <w:pPr>
              <w:pStyle w:val="正常"/>
              <w:outlineLvl w:val="0"/>
            </w:pPr>
            <w:r>
              <w:rPr>
                <w:rFonts w:ascii="楷体" w:cs="楷体" w:hAnsi="楷体" w:eastAsia="楷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制定迭代计划时，粒度不能太粗，以便于项目进度的监测与及时调整。</w:t>
            </w:r>
          </w:p>
        </w:tc>
      </w:tr>
    </w:tbl>
    <w:p>
      <w:pPr>
        <w:pStyle w:val="正常"/>
        <w:jc w:val="right"/>
        <w:outlineLvl w:val="0"/>
      </w:pPr>
      <w:r>
        <w:rPr>
          <w:rFonts w:ascii="宋体" w:cs="宋体" w:hAnsi="宋体" w:eastAsia="宋体"/>
        </w:rPr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楷体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首行缩进">
    <w:name w:val="正文首行缩进"/>
    <w:next w:val="正文首行缩进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20" w:line="240" w:lineRule="auto"/>
      <w:ind w:left="0" w:right="0" w:firstLine="42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正常">
    <w:name w:val="正常"/>
    <w:next w:val="正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Times New Roman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