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color w:val="5F5E5A"/>
          <w:spacing w:val="60"/>
          <w:sz w:val="22"/>
          <w:szCs w:val="22"/>
        </w:rPr>
        <w:t xml:space="preserve">REPUBLIC OF CAMEROON</w:t>
      </w:r>
    </w:p>
    <w:p>
      <w:pPr>
        <w:spacing w:after="800"/>
        <w:jc w:val="center"/>
      </w:pPr>
      <w:r>
        <w:rPr>
          <w:rFonts w:ascii="Arial" w:cs="Arial" w:eastAsia="Arial" w:hAnsi="Arial"/>
          <w:color w:val="5F5E5A"/>
          <w:sz w:val="20"/>
          <w:szCs w:val="20"/>
        </w:rPr>
        <w:t xml:space="preserve">MINISTRY OF FINANCE · MINISTRY OF JUSTICE</w:t>
      </w:r>
    </w:p>
    <w:p>
      <w:pPr>
        <w:spacing w:after="200"/>
        <w:jc w:val="center"/>
      </w:pPr>
      <w:r>
        <w:rPr>
          <w:rFonts w:ascii="Arial" w:cs="Arial" w:eastAsia="Arial" w:hAnsi="Arial"/>
          <w:b/>
          <w:bCs/>
          <w:color w:val="1A1A1A"/>
          <w:sz w:val="96"/>
          <w:szCs w:val="96"/>
        </w:rPr>
        <w:t xml:space="preserve">RÉCOR</w:t>
      </w:r>
    </w:p>
    <w:p>
      <w:pPr>
        <w:spacing w:after="100"/>
        <w:jc w:val="center"/>
      </w:pPr>
      <w:r>
        <w:rPr>
          <w:rFonts w:ascii="Arial" w:cs="Arial" w:eastAsia="Arial" w:hAnsi="Arial"/>
          <w:i/>
          <w:iCs/>
          <w:color w:val="0C447C"/>
          <w:sz w:val="28"/>
          <w:szCs w:val="28"/>
        </w:rPr>
        <w:t xml:space="preserve">Registre de l’Effective Contrôle et Origine Réelle</w:t>
      </w:r>
    </w:p>
    <w:p>
      <w:pPr>
        <w:spacing w:after="600"/>
        <w:jc w:val="center"/>
      </w:pPr>
      <w:r>
        <w:rPr>
          <w:rFonts w:ascii="Arial" w:cs="Arial" w:eastAsia="Arial" w:hAnsi="Arial"/>
          <w:color w:val="2C2C2A"/>
          <w:sz w:val="24"/>
          <w:szCs w:val="24"/>
        </w:rPr>
        <w:t xml:space="preserve">National Beneficial Ownership Registry of Cameroon</w:t>
      </w:r>
    </w:p>
    <w:p>
      <w:pPr>
        <w:spacing w:after="1200"/>
        <w:jc w:val="center"/>
      </w:pPr>
      <w:r>
        <w:rPr>
          <w:rFonts w:ascii="Arial" w:cs="Arial" w:eastAsia="Arial" w:hAnsi="Arial"/>
          <w:color w:val="5F5E5A"/>
          <w:sz w:val="22"/>
          <w:szCs w:val="22"/>
        </w:rPr>
        <w:t xml:space="preserve">Sovereign Build Specification · Architecture, Engineering, and Governance</w:t>
      </w:r>
    </w:p>
    <w:p>
      <w:pPr>
        <w:spacing w:after="200"/>
        <w:jc w:val="center"/>
      </w:pPr>
      <w:r>
        <w:rPr>
          <w:rFonts w:ascii="Arial" w:cs="Arial" w:eastAsia="Arial" w:hAnsi="Arial"/>
          <w:b/>
          <w:bCs/>
          <w:color w:val="5F5E5A"/>
          <w:spacing w:val="40"/>
          <w:sz w:val="18"/>
          <w:szCs w:val="1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Field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Value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 title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 Sovereign Build Specification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 — Reference architecture for funder review</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Status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Draft for institutional consultation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Classification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Restricted · For consortium and funder review only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 audience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World Bank Integrity VPU, IMF MCM, EU AMLA Secretariat, UNODC StAR, GIZ Good Financial Governance, GABAC Secretariat, FATF Joint Group</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Originating authority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Government of the Republic of Cameroon (proposed lead: Ministry of Finance, in consortium with Ministry of Justice)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consortium (proposed)</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 MINFI, DGI, ANIF, CONAC, TCS, ARMP, BEAC, plus two non-state seats (civil society and international observer)</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Scope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End-to-end architectural, engineering, governance, legal, and financial specification for the sovereign National Beneficial Ownership Registry of Cameroon and its institutional integrations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Timeline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Eighteen to twenty-four months from funding close to production launch</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Budget envelope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USD 18–24 million all-in for the first eighteen months; USD 6–8 million per year in steady-state operations</w:t>
            </w:r>
          </w:p>
        </w:tc>
      </w:tr>
    </w:tbl>
    <w:p>
      <w:r>
        <w:br w:type="page"/>
      </w:r>
    </w:p>
    <w:p>
      <w:pPr>
        <w:pStyle w:val="Heading1"/>
        <w:pageBreakBefore/>
        <w:spacing w:after="240" w:before="480"/>
      </w:pPr>
      <w:r>
        <w:rPr>
          <w:rFonts w:ascii="Arial" w:cs="Arial" w:eastAsia="Arial" w:hAnsi="Arial"/>
          <w:b/>
          <w:bCs/>
          <w:color w:val="1A1A1A"/>
          <w:sz w:val="36"/>
          <w:szCs w:val="36"/>
        </w:rPr>
        <w:t xml:space="preserve">Executive Summary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is the sovereign trust infrastructure that forces every legal entity operating in Cameroon to disclose the natural person who ultimately controls it, verifies that disclosure against adversarial concealment, and serves the verified truth to every institution whose mandate depends on it — instantly for transactions, deeply for investigations, openly for accountability.</w:t>
      </w:r>
    </w:p>
    <w:p>
      <w:pPr>
        <w:pStyle w:val="Heading2"/>
        <w:spacing w:after="160" w:before="320"/>
      </w:pPr>
      <w:r>
        <w:rPr>
          <w:rFonts w:ascii="Arial" w:cs="Arial" w:eastAsia="Arial" w:hAnsi="Arial"/>
          <w:b/>
          <w:bCs/>
          <w:color w:val="1A1A1A"/>
          <w:sz w:val="28"/>
          <w:szCs w:val="28"/>
        </w:rPr>
        <w:t xml:space="preserve">The problem RÉCOR solves</w:t>
      </w:r>
    </w:p>
    <w:p>
      <w:pPr>
        <w:spacing w:after="140" w:line="320"/>
        <w:jc w:val="both"/>
      </w:pPr>
      <w:r>
        <w:rPr>
          <w:rFonts w:ascii="Arial" w:cs="Arial" w:eastAsia="Arial" w:hAnsi="Arial"/>
          <w:b w:val="false"/>
          <w:bCs w:val="false"/>
          <w:i w:val="false"/>
          <w:iCs w:val="false"/>
          <w:color w:val="2C2C2A"/>
          <w:sz w:val="22"/>
          <w:szCs w:val="22"/>
        </w:rPr>
        <w:t xml:space="preserve">Today, identifying the natural person who actually controls a company registered in Cameroon is impossible at scale. Ownership records held by the Centre de Formalités de Création des Entreprises (CFCE) typically name corporate shareholders rather than natural persons. Those corporate shareholders are themselves often owned by other entities, sometimes domestically and frequently offshore in Mauritius, the United Arab Emirates, or the British Virgin Islands. The natural person at the end of the chain — the beneficial owner, who controls decisions and receives economic benefit — is, in a non-trivial fraction of cases, deliberately concealed.</w:t>
      </w:r>
    </w:p>
    <w:p>
      <w:pPr>
        <w:spacing w:after="140" w:line="320"/>
        <w:jc w:val="both"/>
      </w:pPr>
      <w:r>
        <w:rPr>
          <w:rFonts w:ascii="Arial" w:cs="Arial" w:eastAsia="Arial" w:hAnsi="Arial"/>
          <w:b w:val="false"/>
          <w:bCs w:val="false"/>
          <w:i w:val="false"/>
          <w:iCs w:val="false"/>
          <w:color w:val="2C2C2A"/>
          <w:sz w:val="22"/>
          <w:szCs w:val="22"/>
        </w:rPr>
        <w:t xml:space="preserve">The consequences of this opacity are concrete and quantifiable. Public officials and their relatives can secretly hold equity in entities bidding on government tenders, with conflicts of interest invisible to procurement officers until exposed years later by journalists. Sanctioned foreign individuals and entities can route trade and asset accumulation through Cameroonian fronts, undetected by customs and banking systems. Illicit proceeds from narcotics, illegal gold, and corruption can be parked in Cameroonian real estate, hotels, and operating businesses, with banks unable to identify the true owner during customer onboarding. Multinational entities can engage in transfer-pricing fraud across affiliated Cameroonian subsidiaries, eroding the domestic revenue base. Honest businesses lose tenders to invisible cartels operating through layered shells. Cameroonian banks face continuing pressure from European correspondent banks who cannot satisfy their own anti-money-laundering obligations against Cameroonian counterparties whose ultimate ownership is unverifiable.</w:t>
      </w:r>
    </w:p>
    <w:p>
      <w:pPr>
        <w:spacing w:after="140" w:line="320"/>
        <w:jc w:val="both"/>
      </w:pPr>
      <w:r>
        <w:rPr>
          <w:rFonts w:ascii="Arial" w:cs="Arial" w:eastAsia="Arial" w:hAnsi="Arial"/>
          <w:b w:val="false"/>
          <w:bCs w:val="false"/>
          <w:i w:val="false"/>
          <w:iCs w:val="false"/>
          <w:color w:val="2C2C2A"/>
          <w:sz w:val="22"/>
          <w:szCs w:val="22"/>
        </w:rPr>
        <w:t xml:space="preserve">Each of these failure modes shares a single upstream cause: the absence of a trusted, verified, queryable national registry of beneficial ownership. RÉCOR is that registry.</w:t>
      </w:r>
    </w:p>
    <w:p>
      <w:pPr>
        <w:pStyle w:val="Heading2"/>
        <w:spacing w:after="160" w:before="320"/>
      </w:pPr>
      <w:r>
        <w:rPr>
          <w:rFonts w:ascii="Arial" w:cs="Arial" w:eastAsia="Arial" w:hAnsi="Arial"/>
          <w:b/>
          <w:bCs/>
          <w:color w:val="1A1A1A"/>
          <w:sz w:val="28"/>
          <w:szCs w:val="28"/>
        </w:rPr>
        <w:t xml:space="preserve">What RÉCOR does</w:t>
      </w:r>
    </w:p>
    <w:p>
      <w:pPr>
        <w:spacing w:after="140" w:line="320"/>
        <w:jc w:val="both"/>
      </w:pPr>
      <w:r>
        <w:rPr>
          <w:rFonts w:ascii="Arial" w:cs="Arial" w:eastAsia="Arial" w:hAnsi="Arial"/>
          <w:b w:val="false"/>
          <w:bCs w:val="false"/>
          <w:i w:val="false"/>
          <w:iCs w:val="false"/>
          <w:color w:val="2C2C2A"/>
          <w:sz w:val="22"/>
          <w:szCs w:val="22"/>
        </w:rPr>
        <w:t xml:space="preserve">RÉCOR is a sovereign-grade platform that performs four functions, each backed by verifiable institutional and cryptographic guarantees.</w:t>
      </w:r>
    </w:p>
    <w:p>
      <w:pPr>
        <w:pStyle w:val="ListParagraph"/>
        <w:numPr>
          <w:ilvl w:val="0"/>
          <w:numId w:val="2"/>
        </w:numPr>
        <w:spacing w:after="80" w:line="300"/>
      </w:pPr>
      <w:r>
        <w:rPr>
          <w:rFonts w:ascii="Arial" w:cs="Arial" w:eastAsia="Arial" w:hAnsi="Arial"/>
          <w:color w:val="2C2C2A"/>
          <w:sz w:val="22"/>
          <w:szCs w:val="22"/>
        </w:rPr>
        <w:t xml:space="preserve">First, mandatory disclosure. Every legal entity registered in Cameroon — sociétés à responsabilité limitée, sociétés anonymes, groupements d’intérêt économique, foundations, cooperatives, and equivalent forms — must declare the natural person who ultimately controls it. Declaration occurs at incorporation, at every annual filing, and within thirty days of any change of control. Non-declaration blocks downstream administrative actions: no tax identification number, no bank account opening, no procurement tender participation, no customs clearance, no concession renewal.</w:t>
      </w:r>
    </w:p>
    <w:p>
      <w:pPr>
        <w:pStyle w:val="ListParagraph"/>
        <w:numPr>
          <w:ilvl w:val="0"/>
          <w:numId w:val="2"/>
        </w:numPr>
        <w:spacing w:after="80" w:line="300"/>
      </w:pPr>
      <w:r>
        <w:rPr>
          <w:rFonts w:ascii="Arial" w:cs="Arial" w:eastAsia="Arial" w:hAnsi="Arial"/>
          <w:color w:val="2C2C2A"/>
          <w:sz w:val="22"/>
          <w:szCs w:val="22"/>
        </w:rPr>
        <w:t xml:space="preserve">Second, adversarial verification. Every declaration is processed through a nine-stage verification pipeline that authenticates the declared identity against national systems (the national identity register, the tax register, the immigration database), screens against international sanctions and politically exposed persons lists, scans adverse media and leaked offshore data, and applies pattern detection to surface the dominant failure mode in beneficial-ownership registries internationally — the declaration of real but proxy identities serving as fronts for the actual beneficial owner.</w:t>
      </w:r>
    </w:p>
    <w:p>
      <w:pPr>
        <w:pStyle w:val="ListParagraph"/>
        <w:numPr>
          <w:ilvl w:val="0"/>
          <w:numId w:val="2"/>
        </w:numPr>
        <w:spacing w:after="80" w:line="300"/>
      </w:pPr>
      <w:r>
        <w:rPr>
          <w:rFonts w:ascii="Arial" w:cs="Arial" w:eastAsia="Arial" w:hAnsi="Arial"/>
          <w:color w:val="2C2C2A"/>
          <w:sz w:val="22"/>
          <w:szCs w:val="22"/>
        </w:rPr>
        <w:t xml:space="preserve">Third, tiered serving. Verified beneficial ownership data is made available to consumers through three tiers of access governed by statute and enforced cryptographically. A public tier is openly accessible to citizens, journalists, civil society, and foreign due diligence consumers for entities that participate in public procurement, hold extractive concessions, or own significant real estate. A restricted tier is accessible to authorised officials at the eight institutions in the implementing consortium, with every access logged and auditable. An encrypted tier holds the most politically sensitive records and requires threshold-signed quorum approval from designated consortium key-holders before access.</w:t>
      </w:r>
    </w:p>
    <w:p>
      <w:pPr>
        <w:pStyle w:val="ListParagraph"/>
        <w:numPr>
          <w:ilvl w:val="0"/>
          <w:numId w:val="2"/>
        </w:numPr>
        <w:spacing w:after="80" w:line="300"/>
      </w:pPr>
      <w:r>
        <w:rPr>
          <w:rFonts w:ascii="Arial" w:cs="Arial" w:eastAsia="Arial" w:hAnsi="Arial"/>
          <w:color w:val="2C2C2A"/>
          <w:sz w:val="22"/>
          <w:szCs w:val="22"/>
        </w:rPr>
        <w:t xml:space="preserve">Fourth, institutional integration. RÉCOR exposes verified beneficial ownership data to every institution whose mandate depends on it, through real-time APIs and bulk feeds. The Agence de Régulation des Marchés Publics receives a synchronous risk check on every tender bid. The Agence Nationale d’Investigation Financière enriches every suspicious transaction report with verified beneficial ownership context. The Direction Générale des Impôts identifies transfer-pricing risk through shared beneficial ownership across trading entities. The Banque des États de l’Afrique Centrale and the Cameroonian banking sector replace duplicate KYC data collection with sovereign-verified data.</w:t>
      </w:r>
    </w:p>
    <w:p>
      <w:pPr>
        <w:pStyle w:val="Heading2"/>
        <w:spacing w:after="160" w:before="320"/>
      </w:pPr>
      <w:r>
        <w:rPr>
          <w:rFonts w:ascii="Arial" w:cs="Arial" w:eastAsia="Arial" w:hAnsi="Arial"/>
          <w:b/>
          <w:bCs/>
          <w:color w:val="1A1A1A"/>
          <w:sz w:val="28"/>
          <w:szCs w:val="28"/>
        </w:rPr>
        <w:t xml:space="preserve">Why this is fundable</w:t>
      </w:r>
    </w:p>
    <w:p>
      <w:pPr>
        <w:spacing w:after="140" w:line="320"/>
        <w:jc w:val="both"/>
      </w:pPr>
      <w:r>
        <w:rPr>
          <w:rFonts w:ascii="Arial" w:cs="Arial" w:eastAsia="Arial" w:hAnsi="Arial"/>
          <w:b w:val="false"/>
          <w:bCs w:val="false"/>
          <w:i w:val="false"/>
          <w:iCs w:val="false"/>
          <w:color w:val="2C2C2A"/>
          <w:sz w:val="22"/>
          <w:szCs w:val="22"/>
        </w:rPr>
        <w:t xml:space="preserve">RÉCOR satisfies six distinct institutional mandates with a single platform investment. The World Bank Integrity Vice Presidency obtains fiduciary risk reduction across its IDA portfolio and operational alignment with the Stolen Asset Recovery Initiative. The International Monetary Fund obtains satisfaction of the AML/CFT governance benchmarks now embedded in Article IV consultations and Extended Credit Facility reviews, and substantial enablement of domestic revenue mobilisation through transfer-pricing detection. The European Union obtains a counterparty verification infrastructure aligned with the Sixth Anti-Money-Laundering Directive and the operational requirements of the new EU Anti-Money-Laundering Authority, which enables European banks to maintain correspondent relationships with Cameroonian banks without imposing punitive enhanced due diligence on every cross-border wire. The United Nations Office on Drugs and Crime obtains a substantial operational enhancement to the existing goAML deployment at ANIF, enriched with verified beneficial ownership data that goAML cannot currently access. GIZ obtains a flagship good-financial-governance intervention with clear, measurable outcomes. The Financial Action Task Force and its regional body GABAC obtain the upstream dependency that unblocks Cameroon’s remaining grey-list action items — risk-based supervision of banks and designated non-financial businesses and professions, financial intelligence dissemination, and seizure and confiscation — none of which can be operationally delivered without verified beneficial ownership.</w:t>
      </w:r>
    </w:p>
    <w:p>
      <w:pPr>
        <w:spacing w:after="140" w:line="320"/>
        <w:jc w:val="both"/>
      </w:pPr>
      <w:r>
        <w:rPr>
          <w:rFonts w:ascii="Arial" w:cs="Arial" w:eastAsia="Arial" w:hAnsi="Arial"/>
          <w:b w:val="false"/>
          <w:bCs w:val="false"/>
          <w:i w:val="false"/>
          <w:iCs w:val="false"/>
          <w:color w:val="2C2C2A"/>
          <w:sz w:val="22"/>
          <w:szCs w:val="22"/>
        </w:rPr>
        <w:t xml:space="preserve">No funder is asked to compromise its mandate. No funder is asked to accept that another funder’s priority is more important than its own. The platform is the artefact through which all six mandates are satisfied simultaneously.</w:t>
      </w:r>
    </w:p>
    <w:p>
      <w:pPr>
        <w:pStyle w:val="Heading2"/>
        <w:spacing w:after="160" w:before="320"/>
      </w:pPr>
      <w:r>
        <w:rPr>
          <w:rFonts w:ascii="Arial" w:cs="Arial" w:eastAsia="Arial" w:hAnsi="Arial"/>
          <w:b/>
          <w:bCs/>
          <w:color w:val="1A1A1A"/>
          <w:sz w:val="28"/>
          <w:szCs w:val="28"/>
        </w:rPr>
        <w:t xml:space="preserve">Sovereign-grade by construction</w:t>
      </w:r>
    </w:p>
    <w:p>
      <w:pPr>
        <w:spacing w:after="140" w:line="320"/>
        <w:jc w:val="both"/>
      </w:pPr>
      <w:r>
        <w:rPr>
          <w:rFonts w:ascii="Arial" w:cs="Arial" w:eastAsia="Arial" w:hAnsi="Arial"/>
          <w:b w:val="false"/>
          <w:bCs w:val="false"/>
          <w:i w:val="false"/>
          <w:iCs w:val="false"/>
          <w:color w:val="2C2C2A"/>
          <w:sz w:val="22"/>
          <w:szCs w:val="22"/>
        </w:rPr>
        <w:t xml:space="preserve">RÉCOR is engineered to a sovereign-grade standard from the substrate up, not by aspiration but by specific, verifiable engineering commitments. Hardware security modules provide cryptographic root of trust at two physical sites in Yaoundé and Douala, with a third air-gapped ceremonial site. A ten-organisation permissioned ledger built on Hyperledger Fabric distributes endorsement authority across the eight state institutional consortium members plus two non-state seats reserved for civil society and an international observer. External sovereignty-independent anchoring through OpenTimestamps on Bitcoin establishes historical integrity of the registry against a chain that neither Cameroon nor any international actor controls. Threshold signatures via the FROST-Ed25519 protocol require multi-party quorum approval for access to the most sensitive records. Zero-knowledge proofs via the Halo2 system enable selective disclosure without compromising sovereignty over the underlying data. The artificial intelligence inference strategy is Anthropic-primary by design, with approximately ninety percent of all verification engine inference workload routed to Claude Opus 4.7 through public and private endpoints, fallback to Claude Sonnet 4.6 for cost-sensitive workloads, and sovereign on-premises inference via Llama 3.3 70B Instruct (with Mistral Large 2 as a secondary sovereign option) reserved for the residual cases where raw personally identifiable information must remain on Cameroonian soil.</w:t>
      </w:r>
    </w:p>
    <w:p>
      <w:pPr>
        <w:pStyle w:val="Heading2"/>
        <w:spacing w:after="160" w:before="320"/>
      </w:pPr>
      <w:r>
        <w:rPr>
          <w:rFonts w:ascii="Arial" w:cs="Arial" w:eastAsia="Arial" w:hAnsi="Arial"/>
          <w:b/>
          <w:bCs/>
          <w:color w:val="1A1A1A"/>
          <w:sz w:val="28"/>
          <w:szCs w:val="28"/>
        </w:rPr>
        <w:t xml:space="preserve">Investment summary</w:t>
      </w:r>
    </w:p>
    <w:p>
      <w:pPr>
        <w:spacing w:after="140" w:line="320"/>
        <w:jc w:val="both"/>
      </w:pPr>
      <w:r>
        <w:rPr>
          <w:rFonts w:ascii="Arial" w:cs="Arial" w:eastAsia="Arial" w:hAnsi="Arial"/>
          <w:b w:val="false"/>
          <w:bCs w:val="false"/>
          <w:i w:val="false"/>
          <w:iCs w:val="false"/>
          <w:color w:val="2C2C2A"/>
          <w:sz w:val="22"/>
          <w:szCs w:val="22"/>
        </w:rPr>
        <w:t xml:space="preserve">Total investment for the first eighteen months from funding close to production launch is in the range of eighteen to twenty-four million United States dollars all-in, covering legal framework drafting and parliamentary passage, hardware infrastructure procurement and installation, software development across the seven architectural layers, negotiation and implementation of eight institutional integrations, change management with the regulated private sector, and the first full year of operational running cost. Steady-state operating cost in subsequent years is in the range of six to eight million United States dollars per year, dominated by the in-country GPU inference cluster, the Anthropic API consumption (substantial — the verification engine and Investigation Workbench are intensive consumers of Claude Opus 4.7), commercial sanctions and politically-exposed-persons feed licences, the site reliability engineering and security operations teams, and the verification analyst staff. These figures are calibrated against comparable sovereign registry builds in the United Kingdom, Ukraine, Slovakia, and Nigeria, with explicit adjustments for the verification depth and political-resilience properties that distinguish RÉCOR from first-generation registries now retrofitting those properties at higher cost.</w:t>
      </w:r>
    </w:p>
    <w:p>
      <w:pPr>
        <w:pStyle w:val="Heading2"/>
        <w:spacing w:after="160" w:before="320"/>
      </w:pPr>
      <w:r>
        <w:rPr>
          <w:rFonts w:ascii="Arial" w:cs="Arial" w:eastAsia="Arial" w:hAnsi="Arial"/>
          <w:b/>
          <w:bCs/>
          <w:color w:val="1A1A1A"/>
          <w:sz w:val="28"/>
          <w:szCs w:val="28"/>
        </w:rPr>
        <w:t xml:space="preserve">What the rest of this document contains</w:t>
      </w:r>
    </w:p>
    <w:p>
      <w:pPr>
        <w:spacing w:after="140" w:line="320"/>
        <w:jc w:val="both"/>
      </w:pPr>
      <w:r>
        <w:rPr>
          <w:rFonts w:ascii="Arial" w:cs="Arial" w:eastAsia="Arial" w:hAnsi="Arial"/>
          <w:b w:val="false"/>
          <w:bCs w:val="false"/>
          <w:i w:val="false"/>
          <w:iCs w:val="false"/>
          <w:color w:val="2C2C2A"/>
          <w:sz w:val="22"/>
          <w:szCs w:val="22"/>
        </w:rPr>
        <w:t xml:space="preserve">The body of this specification documents the architecture of RÉCOR layer by layer from the cryptographic and sovereignty substrate up through the user-facing applications, the artificial intelligence inference strategy as a cross-cutting concern, the canonical data model, the engineering standards by which the codebase will be developed and operated, the performance and scale targets to which the platform commits, the security and compliance posture aligned to international standards, the legal framework requirements that must be enacted in parallel with the technical build, the governance model that protects the registry from capture by any single faction, the build sequence phased across eighteen to twenty-four months, the budget broken down by category and phase, the risk register with mitigation plans, and the success metrics against which the platform will be evaluated. Appendices provide reference material for technical implementers, integration partners, and compliance assessors.</w:t>
      </w:r>
    </w:p>
    <w:p>
      <w:pPr>
        <w:pStyle w:val="Heading1"/>
        <w:pageBreakBefore/>
        <w:spacing w:after="240" w:before="480"/>
      </w:pPr>
      <w:r>
        <w:rPr>
          <w:rFonts w:ascii="Arial" w:cs="Arial" w:eastAsia="Arial" w:hAnsi="Arial"/>
          <w:b/>
          <w:bCs/>
          <w:color w:val="1A1A1A"/>
          <w:sz w:val="36"/>
          <w:szCs w:val="36"/>
        </w:rPr>
        <w:t xml:space="preserve">Strategic Context and Funding Rationale</w:t>
      </w:r>
    </w:p>
    <w:p>
      <w:pPr>
        <w:pStyle w:val="Heading2"/>
        <w:spacing w:after="160" w:before="320"/>
      </w:pPr>
      <w:r>
        <w:rPr>
          <w:rFonts w:ascii="Arial" w:cs="Arial" w:eastAsia="Arial" w:hAnsi="Arial"/>
          <w:b/>
          <w:bCs/>
          <w:color w:val="1A1A1A"/>
          <w:sz w:val="28"/>
          <w:szCs w:val="28"/>
        </w:rPr>
        <w:t xml:space="preserve">The macroeconomic and political backdrop</w:t>
      </w:r>
    </w:p>
    <w:p>
      <w:pPr>
        <w:spacing w:after="140" w:line="320"/>
        <w:jc w:val="both"/>
      </w:pPr>
      <w:r>
        <w:rPr>
          <w:rFonts w:ascii="Arial" w:cs="Arial" w:eastAsia="Arial" w:hAnsi="Arial"/>
          <w:b w:val="false"/>
          <w:bCs w:val="false"/>
          <w:i w:val="false"/>
          <w:iCs w:val="false"/>
          <w:color w:val="2C2C2A"/>
          <w:sz w:val="22"/>
          <w:szCs w:val="22"/>
        </w:rPr>
        <w:t xml:space="preserve">Cameroon entered the Financial Action Task Force list of jurisdictions under increased monitoring — commonly known as the grey list — in June 2023, following the conclusion of the country’s mutual evaluation by the FATF in coordination with the Action Group against Money Laundering in Central Africa (GABAC). The grey-listing was not symbolic. The materially elevated cost of correspondent banking relationships, enhanced due diligence applied to cross-border wires originating from or destined for Cameroonian financial institutions, and reputational signal to foreign investors and development partners have all imposed direct economic cost on the Cameroonian financial system and on the diaspora remittance flows that constitute a significant component of the external account.</w:t>
      </w:r>
    </w:p>
    <w:p>
      <w:pPr>
        <w:spacing w:after="140" w:line="320"/>
        <w:jc w:val="both"/>
      </w:pPr>
      <w:r>
        <w:rPr>
          <w:rFonts w:ascii="Arial" w:cs="Arial" w:eastAsia="Arial" w:hAnsi="Arial"/>
          <w:b w:val="false"/>
          <w:bCs w:val="false"/>
          <w:i w:val="false"/>
          <w:iCs w:val="false"/>
          <w:color w:val="2C2C2A"/>
          <w:sz w:val="22"/>
          <w:szCs w:val="22"/>
        </w:rPr>
        <w:t xml:space="preserve">As of the February 2026 FATF Plenary, Cameroon remains under increased monitoring. The government’s self-imposed exit target is end-2026. By the close of the October 2025 Plenary cycle, Cameroon had completed approximately eight of twenty-four originally agreed action items, a fulfilment rate below forty percent. The October 2025 cycle saw South Africa, Nigeria, Burkina Faso, and Mozambique successfully exit the grey list; Cameroon was not among them.</w:t>
      </w:r>
    </w:p>
    <w:p>
      <w:pPr>
        <w:spacing w:after="140" w:line="320"/>
        <w:jc w:val="both"/>
      </w:pPr>
      <w:r>
        <w:rPr>
          <w:rFonts w:ascii="Arial" w:cs="Arial" w:eastAsia="Arial" w:hAnsi="Arial"/>
          <w:b w:val="false"/>
          <w:bCs w:val="false"/>
          <w:i w:val="false"/>
          <w:iCs w:val="false"/>
          <w:color w:val="2C2C2A"/>
          <w:sz w:val="22"/>
          <w:szCs w:val="22"/>
        </w:rPr>
        <w:t xml:space="preserve">The structural significance of beneficial ownership within Cameroon’s remaining FATF action items has shifted in a way that strengthens rather than weakens the case for this platform. The June 2025 Plenary explicitly credited Cameroon with establishing a mechanism to maintain adequate, accurate, and up-to-date beneficial ownership information. By the October 2025 and February 2026 Plenaries, beneficial ownership had dropped off the formal action plan as an outstanding deficiency. The four remaining items are now (1) enhancing risk-based supervision of banks and of designated non-financial businesses and professions; (2) enhancing the financial intelligence unit’s dissemination of intelligence reports to support operational needs; (3) implementing policies for seizure and confiscation of proceeds and instrumentalities of crime and managing frozen property; and (4) demonstrating effective implementation of targeted financial sanctions regimes for terrorist financing and proliferation financing, together with a risk-based approach to non-profit organisations.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correct strategic positioning of RÉCOR is not as a remaining FATF action item, but as the upstream operational dependency for the remaining items. Risk-based supervision of designated non-financial businesses and professions without verified beneficial ownership is theatre; financial intelligence dissemination without entity resolution is fog.</w:t>
      </w:r>
    </w:p>
    <w:p>
      <w:pPr>
        <w:spacing w:after="140" w:line="320"/>
        <w:jc w:val="both"/>
      </w:pPr>
      <w:r>
        <w:rPr>
          <w:rFonts w:ascii="Arial" w:cs="Arial" w:eastAsia="Arial" w:hAnsi="Arial"/>
          <w:b w:val="false"/>
          <w:bCs w:val="false"/>
          <w:i w:val="false"/>
          <w:iCs w:val="false"/>
          <w:color w:val="2C2C2A"/>
          <w:sz w:val="22"/>
          <w:szCs w:val="22"/>
        </w:rPr>
        <w:t xml:space="preserve">This positioning is honest, technically defensible, and politically more powerful than the misframing that would result from claiming RÉCOR is itself a grey-list action item. It correctly characterises the registry that exists today on paper as having satisfied the existence test that FATF requires, while frankly acknowledging that the operational depth required to drive the remaining items is not yet present. RÉCOR is what closes that gap.</w:t>
      </w:r>
    </w:p>
    <w:p>
      <w:pPr>
        <w:pStyle w:val="Heading2"/>
        <w:spacing w:after="160" w:before="320"/>
      </w:pPr>
      <w:r>
        <w:rPr>
          <w:rFonts w:ascii="Arial" w:cs="Arial" w:eastAsia="Arial" w:hAnsi="Arial"/>
          <w:b/>
          <w:bCs/>
          <w:color w:val="1A1A1A"/>
          <w:sz w:val="28"/>
          <w:szCs w:val="28"/>
        </w:rPr>
        <w:t xml:space="preserve">The multi-stakeholder convergence</w:t>
      </w:r>
    </w:p>
    <w:p>
      <w:pPr>
        <w:spacing w:after="140" w:line="320"/>
        <w:jc w:val="both"/>
      </w:pPr>
      <w:r>
        <w:rPr>
          <w:rFonts w:ascii="Arial" w:cs="Arial" w:eastAsia="Arial" w:hAnsi="Arial"/>
          <w:b w:val="false"/>
          <w:bCs w:val="false"/>
          <w:i w:val="false"/>
          <w:iCs w:val="false"/>
          <w:color w:val="2C2C2A"/>
          <w:sz w:val="22"/>
          <w:szCs w:val="22"/>
        </w:rPr>
        <w:t xml:space="preserve">The institutional case for investment in RÉCOR rests not on the alignment of a single funder’s mandate but on the simultaneous and independent alignment of six distinct international and bilateral mandates, each of which would justify investment on its own terms and the convergence of which makes pooled funding the natural financing model.</w:t>
      </w:r>
    </w:p>
    <w:p>
      <w:pPr>
        <w:pStyle w:val="Heading3"/>
        <w:spacing w:after="120" w:before="240"/>
      </w:pPr>
      <w:r>
        <w:rPr>
          <w:rFonts w:ascii="Arial" w:cs="Arial" w:eastAsia="Arial" w:hAnsi="Arial"/>
          <w:b/>
          <w:bCs/>
          <w:color w:val="1A1A1A"/>
          <w:sz w:val="24"/>
          <w:szCs w:val="24"/>
        </w:rPr>
        <w:t xml:space="preserve">World Bank</w:t>
      </w:r>
    </w:p>
    <w:p>
      <w:pPr>
        <w:spacing w:after="140" w:line="320"/>
        <w:jc w:val="both"/>
      </w:pPr>
      <w:r>
        <w:rPr>
          <w:rFonts w:ascii="Arial" w:cs="Arial" w:eastAsia="Arial" w:hAnsi="Arial"/>
          <w:b w:val="false"/>
          <w:bCs w:val="false"/>
          <w:i w:val="false"/>
          <w:iCs w:val="false"/>
          <w:color w:val="2C2C2A"/>
          <w:sz w:val="22"/>
          <w:szCs w:val="22"/>
        </w:rPr>
        <w:t xml:space="preserve">The World Bank’s Integrity Vice Presidency carries an institutional mandate to reduce fiduciary risk in Bank-financed operations, particularly in IDA-eligible countries with elevated governance risk profiles. Cameroon is an IDA country with substantial active Bank lending across infrastructure, social protection, agriculture, and public finance management. Every Bank operation that involves competitive procurement, on-lending to private sector intermediaries, or transfers to subnational entities is exposed to fiduciary risk that beneficial ownership opacity directly magnifies. The Bank’s Stolen Asset Recovery Initiative (StAR), a joint programme with UNODC, has long identified the absence of functional national beneficial ownership registries in developing countries as the dominant operational impediment to international cooperation on asset recovery. RÉCOR addresses both: fiduciary risk in active Bank operations, and the long-standing StAR institutional priority.</w:t>
      </w:r>
    </w:p>
    <w:p>
      <w:pPr>
        <w:pStyle w:val="Heading3"/>
        <w:spacing w:after="120" w:before="240"/>
      </w:pPr>
      <w:r>
        <w:rPr>
          <w:rFonts w:ascii="Arial" w:cs="Arial" w:eastAsia="Arial" w:hAnsi="Arial"/>
          <w:b/>
          <w:bCs/>
          <w:color w:val="1A1A1A"/>
          <w:sz w:val="24"/>
          <w:szCs w:val="24"/>
        </w:rPr>
        <w:t xml:space="preserve">International Monetary Fund</w:t>
      </w:r>
    </w:p>
    <w:p>
      <w:pPr>
        <w:spacing w:after="140" w:line="320"/>
        <w:jc w:val="both"/>
      </w:pPr>
      <w:r>
        <w:rPr>
          <w:rFonts w:ascii="Arial" w:cs="Arial" w:eastAsia="Arial" w:hAnsi="Arial"/>
          <w:b w:val="false"/>
          <w:bCs w:val="false"/>
          <w:i w:val="false"/>
          <w:iCs w:val="false"/>
          <w:color w:val="2C2C2A"/>
          <w:sz w:val="22"/>
          <w:szCs w:val="22"/>
        </w:rPr>
        <w:t xml:space="preserve">Cameroon’s relationship with the International Monetary Fund has progressively embedded AML/CFT governance benchmarks into Article IV surveillance, into Extended Credit Facility programme conditionality, and into the technical assistance work-streams that flow through AFRITAC Central and the Legal Department. Domestic revenue mobilisation is the single highest-priority structural reform objective the IMF maintains for Cameroon, with formal Article IV recommendations targeting a five-percentage-point increase in tax-to-GDP over the medium term. Transfer-pricing fraud across affiliated entities under shared beneficial ownership is, in IMF technical-assistance assessments and in the Direction Générale des Impôts’ own internal analysis, the largest single category of large-taxpayer revenue leakage. RÉCOR makes this leakage operationally visible to DGI auditors for the first time.</w:t>
      </w:r>
    </w:p>
    <w:p>
      <w:pPr>
        <w:pStyle w:val="Heading3"/>
        <w:spacing w:after="120" w:before="240"/>
      </w:pPr>
      <w:r>
        <w:rPr>
          <w:rFonts w:ascii="Arial" w:cs="Arial" w:eastAsia="Arial" w:hAnsi="Arial"/>
          <w:b/>
          <w:bCs/>
          <w:color w:val="1A1A1A"/>
          <w:sz w:val="24"/>
          <w:szCs w:val="24"/>
        </w:rPr>
        <w:t xml:space="preserve">European Union</w:t>
      </w:r>
    </w:p>
    <w:p>
      <w:pPr>
        <w:spacing w:after="140" w:line="320"/>
        <w:jc w:val="both"/>
      </w:pPr>
      <w:r>
        <w:rPr>
          <w:rFonts w:ascii="Arial" w:cs="Arial" w:eastAsia="Arial" w:hAnsi="Arial"/>
          <w:b w:val="false"/>
          <w:bCs w:val="false"/>
          <w:i w:val="false"/>
          <w:iCs w:val="false"/>
          <w:color w:val="2C2C2A"/>
          <w:sz w:val="22"/>
          <w:szCs w:val="22"/>
        </w:rPr>
        <w:t xml:space="preserve">The European Union’s sixth Anti-Money-Laundering Directive and the operational establishment of the EU Anti-Money-Laundering Authority (AMLA) require European credit institutions to verify the beneficial ownership of counterparties in jurisdictions identified as third-country high-risk or as posing elevated structural AML/CFT risk. Cameroon’s current grey-list status places Cameroonian counterparties firmly within the scope of enhanced due diligence obligations on European banks. In the absence of a sovereign beneficial ownership registry, European banks default to refusing cross-border activity with Cameroonian counterparties or to pricing it punitively — the phenomenon known as de-risking, which manifests in higher remittance costs for the Cameroonian diaspora in France, Belgium, and the United States, in slower correspondent settlement times, and in attrition of correspondent banking relationships entirely. RÉCOR provides the data substrate against which European banks can satisfy their own obligations efficiently and at low cost, which is the structural condition for de-risking pressure on the Cameroonian banking system to ease.</w:t>
      </w:r>
    </w:p>
    <w:p>
      <w:pPr>
        <w:pStyle w:val="Heading3"/>
        <w:spacing w:after="120" w:before="240"/>
      </w:pPr>
      <w:r>
        <w:rPr>
          <w:rFonts w:ascii="Arial" w:cs="Arial" w:eastAsia="Arial" w:hAnsi="Arial"/>
          <w:b/>
          <w:bCs/>
          <w:color w:val="1A1A1A"/>
          <w:sz w:val="24"/>
          <w:szCs w:val="24"/>
        </w:rPr>
        <w:t xml:space="preserve">United Nations Office on Drugs and Crime</w:t>
      </w:r>
    </w:p>
    <w:p>
      <w:pPr>
        <w:spacing w:after="140" w:line="320"/>
        <w:jc w:val="both"/>
      </w:pPr>
      <w:r>
        <w:rPr>
          <w:rFonts w:ascii="Arial" w:cs="Arial" w:eastAsia="Arial" w:hAnsi="Arial"/>
          <w:b w:val="false"/>
          <w:bCs w:val="false"/>
          <w:i w:val="false"/>
          <w:iCs w:val="false"/>
          <w:color w:val="2C2C2A"/>
          <w:sz w:val="22"/>
          <w:szCs w:val="22"/>
        </w:rPr>
        <w:t xml:space="preserve">UNODC carries an explicit technical-assistance mandate around financial intelligence units in developing countries, expressed operationally through deployment and support of the goAML platform. ANIF, the Cameroonian financial intelligence unit, has been operating goAML for several years; the platform is functional but data-starved. The structural limitation is that goAML can analyse suspicious transaction reports only against the data it has access to, and the data it has access to is bounded by what financial institutions and DNFBPs voluntarily provide, which does not include verified beneficial ownership. RÉCOR provides goAML with a real-time beneficial ownership enrichment feed that materially enhances the operational utility of ANIF’s existing investment in the platform, without requiring goAML itself to be replaced or extensively re-engineered.</w:t>
      </w:r>
    </w:p>
    <w:p>
      <w:pPr>
        <w:pStyle w:val="Heading3"/>
        <w:spacing w:after="120" w:before="240"/>
      </w:pPr>
      <w:r>
        <w:rPr>
          <w:rFonts w:ascii="Arial" w:cs="Arial" w:eastAsia="Arial" w:hAnsi="Arial"/>
          <w:b/>
          <w:bCs/>
          <w:color w:val="1A1A1A"/>
          <w:sz w:val="24"/>
          <w:szCs w:val="24"/>
        </w:rPr>
        <w:t xml:space="preserve">Deutsche Gesellschaft für Internationale Zusammenarbeit (GIZ)</w:t>
      </w:r>
    </w:p>
    <w:p>
      <w:pPr>
        <w:spacing w:after="140" w:line="320"/>
        <w:jc w:val="both"/>
      </w:pPr>
      <w:r>
        <w:rPr>
          <w:rFonts w:ascii="Arial" w:cs="Arial" w:eastAsia="Arial" w:hAnsi="Arial"/>
          <w:b w:val="false"/>
          <w:bCs w:val="false"/>
          <w:i w:val="false"/>
          <w:iCs w:val="false"/>
          <w:color w:val="2C2C2A"/>
          <w:sz w:val="22"/>
          <w:szCs w:val="22"/>
        </w:rPr>
        <w:t xml:space="preserve">GIZ’s Good Financial Governance portfolio across francophone Africa has historically prioritised public financial management modernisation, tax administration capacity building, and anti-corruption institutional support. RÉCOR is a single platform that contributes to all three objectives. The integration with DGI strengthens tax administration capacity; the integration with CONAC and TCS strengthens anti-corruption institutional capability; the overall registry strengthens public financial management by making the entity universe of public procurement and public concession-holding visible and analysable for the first time.</w:t>
      </w:r>
    </w:p>
    <w:p>
      <w:pPr>
        <w:pStyle w:val="Heading3"/>
        <w:spacing w:after="120" w:before="240"/>
      </w:pPr>
      <w:r>
        <w:rPr>
          <w:rFonts w:ascii="Arial" w:cs="Arial" w:eastAsia="Arial" w:hAnsi="Arial"/>
          <w:b/>
          <w:bCs/>
          <w:color w:val="1A1A1A"/>
          <w:sz w:val="24"/>
          <w:szCs w:val="24"/>
        </w:rPr>
        <w:t xml:space="preserve">Financial Action Task Force and GABAC</w:t>
      </w:r>
    </w:p>
    <w:p>
      <w:pPr>
        <w:spacing w:after="140" w:line="320"/>
        <w:jc w:val="both"/>
      </w:pPr>
      <w:r>
        <w:rPr>
          <w:rFonts w:ascii="Arial" w:cs="Arial" w:eastAsia="Arial" w:hAnsi="Arial"/>
          <w:b w:val="false"/>
          <w:bCs w:val="false"/>
          <w:i w:val="false"/>
          <w:iCs w:val="false"/>
          <w:color w:val="2C2C2A"/>
          <w:sz w:val="22"/>
          <w:szCs w:val="22"/>
        </w:rPr>
        <w:t xml:space="preserve">As explained above, the FATF and GABAC do not list beneficial ownership among Cameroon’s remaining grey-list action items, having credited the existence of a mechanism in June 2025. The operational depth required to deliver the remaining four items, however, depends on RÉCOR. Funders concerned with Cameroon’s grey-list exit have a direct interest in the deployment of RÉCOR as the upstream dependency that unblocks delivery of the remaining items.</w:t>
      </w:r>
    </w:p>
    <w:p>
      <w:pPr>
        <w:pStyle w:val="Heading2"/>
        <w:spacing w:after="160" w:before="320"/>
      </w:pPr>
      <w:r>
        <w:rPr>
          <w:rFonts w:ascii="Arial" w:cs="Arial" w:eastAsia="Arial" w:hAnsi="Arial"/>
          <w:b/>
          <w:bCs/>
          <w:color w:val="1A1A1A"/>
          <w:sz w:val="28"/>
          <w:szCs w:val="28"/>
        </w:rPr>
        <w:t xml:space="preserve">Quantification of value at risk</w:t>
      </w:r>
    </w:p>
    <w:p>
      <w:pPr>
        <w:spacing w:after="140" w:line="320"/>
        <w:jc w:val="both"/>
      </w:pPr>
      <w:r>
        <w:rPr>
          <w:rFonts w:ascii="Arial" w:cs="Arial" w:eastAsia="Arial" w:hAnsi="Arial"/>
          <w:b w:val="false"/>
          <w:bCs w:val="false"/>
          <w:i w:val="false"/>
          <w:iCs w:val="false"/>
          <w:color w:val="2C2C2A"/>
          <w:sz w:val="22"/>
          <w:szCs w:val="22"/>
        </w:rPr>
        <w:t xml:space="preserve">The economic value at risk in the absence of a functional beneficial ownership registry is conservatively estimable across four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Category</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Estimated annual value at risk (USD)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Procurement corruption via undeclared conflicts of interest in ARMP-tendered contracts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150 to 350 million, equivalent to 5–8% of annual public procurement value of approximately 3 billion USD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Transfer-pricing fraud across affiliated entities under shared beneficial ownership</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 to 450 million, equivalent to 1.2–2.5% of annual taxable corporate base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Illicit financial flows routed through Cameroonian fronts (narcotics, illegal extractive proceeds, sanctions evasion)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 to 800 million, applying Global Financial Integrity methodology to comparable jurisdictions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De-risking-driven elevated cost of correspondent banking and remittance corridors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80 to 180 million, applied to annual remittance flows of approximately 700 million USD plus correspondent banking volume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 annual economic value at risk (conservative range)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730 million to 1.78 billion USD</w:t>
            </w:r>
          </w:p>
        </w:tc>
      </w:tr>
    </w:tbl>
    <w:p>
      <w:pPr>
        <w:spacing w:after="140" w:line="320"/>
        <w:jc w:val="both"/>
      </w:pPr>
      <w:r>
        <w:rPr>
          <w:rFonts w:ascii="Arial" w:cs="Arial" w:eastAsia="Arial" w:hAnsi="Arial"/>
          <w:b w:val="false"/>
          <w:bCs w:val="false"/>
          <w:i w:val="false"/>
          <w:iCs w:val="false"/>
          <w:color w:val="2C2C2A"/>
          <w:sz w:val="22"/>
          <w:szCs w:val="22"/>
        </w:rPr>
        <w:t xml:space="preserve">Against this annual value at risk, the build cost of eighteen to twenty-four million United States dollars and steady-state operating cost of six to eight million United States dollars per year is an order of magnitude smaller than any of the four individual categories. Even the most conservative impact estimate — capturing twenty percent of the lower bound across categories within three years of full operationality — returns the build investment within the first year of full operation and the lifetime operating cost within the first three years.</w:t>
      </w:r>
    </w:p>
    <w:p>
      <w:pPr>
        <w:pStyle w:val="Heading2"/>
        <w:spacing w:after="160" w:before="320"/>
      </w:pPr>
      <w:r>
        <w:rPr>
          <w:rFonts w:ascii="Arial" w:cs="Arial" w:eastAsia="Arial" w:hAnsi="Arial"/>
          <w:b/>
          <w:bCs/>
          <w:color w:val="1A1A1A"/>
          <w:sz w:val="28"/>
          <w:szCs w:val="28"/>
        </w:rPr>
        <w:t xml:space="preserve">Why now</w:t>
      </w:r>
    </w:p>
    <w:p>
      <w:pPr>
        <w:spacing w:after="140" w:line="320"/>
        <w:jc w:val="both"/>
      </w:pPr>
      <w:r>
        <w:rPr>
          <w:rFonts w:ascii="Arial" w:cs="Arial" w:eastAsia="Arial" w:hAnsi="Arial"/>
          <w:b w:val="false"/>
          <w:bCs w:val="false"/>
          <w:i w:val="false"/>
          <w:iCs w:val="false"/>
          <w:color w:val="2C2C2A"/>
          <w:sz w:val="22"/>
          <w:szCs w:val="22"/>
        </w:rPr>
        <w:t xml:space="preserve">Three convergent windows make 2026 the right year for this platform to be funded and built. First, the grey-list exit window: Cameroon’s self-imposed target of end-2026 is unlikely to be met, which means the FATF Plenary cycle in 2026 and 2027 will continue to apply institutional pressure on the Cameroonian government for measurable AML/CFT progress — and RÉCOR is a measurable, visible, internationally-legible response. Second, the AMLA operationalisation window: the EU Anti-Money-Laundering Authority is establishing its operational counterparty framework through 2026 and 2027, and jurisdictions that present credible sovereign beneficial ownership infrastructure during this window receive substantially preferential treatment in subsequent risk-based engagement. Third, the IDA-21 replenishment cycle: World Bank IDA operations in Cameroon over the next three years are constrained by fiduciary risk assessment, and demonstrable beneficial ownership infrastructure materially changes the risk profile of the entire portfolio.</w:t>
      </w:r>
    </w:p>
    <w:p>
      <w:pPr>
        <w:pStyle w:val="Heading1"/>
        <w:pageBreakBefore/>
        <w:spacing w:after="240" w:before="480"/>
      </w:pPr>
      <w:r>
        <w:rPr>
          <w:rFonts w:ascii="Arial" w:cs="Arial" w:eastAsia="Arial" w:hAnsi="Arial"/>
          <w:b/>
          <w:bCs/>
          <w:color w:val="1A1A1A"/>
          <w:sz w:val="36"/>
          <w:szCs w:val="36"/>
        </w:rPr>
        <w:t xml:space="preserve">Platform Thesis, Scope, and Design Principles</w:t>
      </w:r>
    </w:p>
    <w:p>
      <w:pPr>
        <w:pStyle w:val="Heading2"/>
        <w:spacing w:after="160" w:before="320"/>
      </w:pPr>
      <w:r>
        <w:rPr>
          <w:rFonts w:ascii="Arial" w:cs="Arial" w:eastAsia="Arial" w:hAnsi="Arial"/>
          <w:b/>
          <w:bCs/>
          <w:color w:val="1A1A1A"/>
          <w:sz w:val="28"/>
          <w:szCs w:val="28"/>
        </w:rPr>
        <w:t xml:space="preserve">The thesis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is an adversarial entity-resolution system. Its job is to maintain a high-confidence, time-bounded mapping between registered legal entities operating in Cameroon, the natural persons who actually control or benefit from them, and the risk profiles of those persons — in an environment where a non-trivial fraction of the actors being mapped are actively trying to defeat the mapping.</w:t>
      </w:r>
    </w:p>
    <w:p>
      <w:pPr>
        <w:spacing w:after="140" w:line="320"/>
        <w:jc w:val="both"/>
      </w:pPr>
      <w:r>
        <w:rPr>
          <w:rFonts w:ascii="Arial" w:cs="Arial" w:eastAsia="Arial" w:hAnsi="Arial"/>
          <w:b w:val="false"/>
          <w:bCs w:val="false"/>
          <w:i w:val="false"/>
          <w:iCs w:val="false"/>
          <w:color w:val="2C2C2A"/>
          <w:sz w:val="22"/>
          <w:szCs w:val="22"/>
        </w:rPr>
        <w:t xml:space="preserve">Every architectural decision in this specification must be tested against this thesis. If a component does not make the mapping more accurate, more current, more queryable, or more politically resilient, it does not belong in the platform. This discipline is what distinguishes RÉCOR from the first generation of beneficial ownership registries internationally, several of which were deployed as database-plus-portal systems on the assumption that the operational problem was data capture, and which subsequently learned that the operational problem is adversarial verification.</w:t>
      </w:r>
    </w:p>
    <w:p>
      <w:pPr>
        <w:spacing w:after="140" w:line="320"/>
        <w:jc w:val="both"/>
      </w:pPr>
      <w:r>
        <w:rPr>
          <w:rFonts w:ascii="Arial" w:cs="Arial" w:eastAsia="Arial" w:hAnsi="Arial"/>
          <w:b w:val="false"/>
          <w:bCs w:val="false"/>
          <w:i w:val="false"/>
          <w:iCs w:val="false"/>
          <w:color w:val="2C2C2A"/>
          <w:sz w:val="22"/>
          <w:szCs w:val="22"/>
        </w:rPr>
        <w:t xml:space="preserve">Three immediate implications follow from the thesis and shape the architecture from the substrate up.</w:t>
      </w:r>
    </w:p>
    <w:p>
      <w:pPr>
        <w:pStyle w:val="ListParagraph"/>
        <w:numPr>
          <w:ilvl w:val="0"/>
          <w:numId w:val="2"/>
        </w:numPr>
        <w:spacing w:after="80" w:line="300"/>
      </w:pPr>
      <w:r>
        <w:rPr>
          <w:rFonts w:ascii="Arial" w:cs="Arial" w:eastAsia="Arial" w:hAnsi="Arial"/>
          <w:color w:val="2C2C2A"/>
          <w:sz w:val="22"/>
          <w:szCs w:val="22"/>
        </w:rPr>
        <w:t xml:space="preserve">The data model is a typed temporal property graph, not a relational fact table. What the platform stores is who controlled what when and through which path — a question that relational schemas answer poorly and that graph models answer in a single query.</w:t>
      </w:r>
    </w:p>
    <w:p>
      <w:pPr>
        <w:pStyle w:val="ListParagraph"/>
        <w:numPr>
          <w:ilvl w:val="0"/>
          <w:numId w:val="2"/>
        </w:numPr>
        <w:spacing w:after="80" w:line="300"/>
      </w:pPr>
      <w:r>
        <w:rPr>
          <w:rFonts w:ascii="Arial" w:cs="Arial" w:eastAsia="Arial" w:hAnsi="Arial"/>
          <w:color w:val="2C2C2A"/>
          <w:sz w:val="22"/>
          <w:szCs w:val="22"/>
        </w:rPr>
        <w:t xml:space="preserve">The trust model is defence in depth with independent verification channels. No single check catches the dominant failure mode in beneficial ownership systems internationally, which is real persons serving as fronts for the actual beneficial owner. Verification must operate across multiple channels with structurally different failure modes, and must fuse the resulting evidence with explicit handling of uncertainty.</w:t>
      </w:r>
    </w:p>
    <w:p>
      <w:pPr>
        <w:pStyle w:val="ListParagraph"/>
        <w:numPr>
          <w:ilvl w:val="0"/>
          <w:numId w:val="2"/>
        </w:numPr>
        <w:spacing w:after="80" w:line="300"/>
      </w:pPr>
      <w:r>
        <w:rPr>
          <w:rFonts w:ascii="Arial" w:cs="Arial" w:eastAsia="Arial" w:hAnsi="Arial"/>
          <w:color w:val="2C2C2A"/>
          <w:sz w:val="22"/>
          <w:szCs w:val="22"/>
        </w:rPr>
        <w:t xml:space="preserve">The serving model is fast lookup plus slow investigation, in parallel. Operational consumers — procurement officers, customs agents, bank KYC desks — need sub-second answers during a transaction. Investigators — ANIF analysts, CONAC investigators, judicial police — need deep, asynchronous deep-dives that take hours and produce evidence packages with cryptographic provenance. A single platform must serve both modes without either compromising the other.</w:t>
      </w:r>
    </w:p>
    <w:p>
      <w:pPr>
        <w:pStyle w:val="Heading2"/>
        <w:spacing w:after="160" w:before="320"/>
      </w:pPr>
      <w:r>
        <w:rPr>
          <w:rFonts w:ascii="Arial" w:cs="Arial" w:eastAsia="Arial" w:hAnsi="Arial"/>
          <w:b/>
          <w:bCs/>
          <w:color w:val="1A1A1A"/>
          <w:sz w:val="28"/>
          <w:szCs w:val="28"/>
        </w:rPr>
        <w:t xml:space="preserve">Platform scope</w:t>
      </w:r>
    </w:p>
    <w:p>
      <w:pPr>
        <w:spacing w:after="140" w:line="320"/>
        <w:jc w:val="both"/>
      </w:pPr>
      <w:r>
        <w:rPr>
          <w:rFonts w:ascii="Arial" w:cs="Arial" w:eastAsia="Arial" w:hAnsi="Arial"/>
          <w:b w:val="false"/>
          <w:bCs w:val="false"/>
          <w:i w:val="false"/>
          <w:iCs w:val="false"/>
          <w:color w:val="2C2C2A"/>
          <w:sz w:val="22"/>
          <w:szCs w:val="22"/>
        </w:rPr>
        <w:t xml:space="preserve">This section defines what RÉCOR is and is not, in operational terms, so that scope debates during build are settled by reference to this document rather than re-litigated.</w:t>
      </w:r>
    </w:p>
    <w:p>
      <w:pPr>
        <w:pStyle w:val="Heading3"/>
        <w:spacing w:after="120" w:before="240"/>
      </w:pPr>
      <w:r>
        <w:rPr>
          <w:rFonts w:ascii="Arial" w:cs="Arial" w:eastAsia="Arial" w:hAnsi="Arial"/>
          <w:b/>
          <w:bCs/>
          <w:color w:val="1A1A1A"/>
          <w:sz w:val="24"/>
          <w:szCs w:val="24"/>
        </w:rPr>
        <w:t xml:space="preserve">In scope</w:t>
      </w:r>
    </w:p>
    <w:p>
      <w:pPr>
        <w:pStyle w:val="ListParagraph"/>
        <w:numPr>
          <w:ilvl w:val="0"/>
          <w:numId w:val="2"/>
        </w:numPr>
        <w:spacing w:after="80" w:line="300"/>
      </w:pPr>
      <w:r>
        <w:rPr>
          <w:rFonts w:ascii="Arial" w:cs="Arial" w:eastAsia="Arial" w:hAnsi="Arial"/>
          <w:color w:val="2C2C2A"/>
          <w:sz w:val="22"/>
          <w:szCs w:val="22"/>
        </w:rPr>
        <w:t xml:space="preserve">Registration and maintenance of declarations of ultimate beneficial ownership for every legal entity registered or operating commercially in Cameroon, including sociétés à responsabilité limitée (SARLs), sociétés anonymes (SAs), sociétés par actions simplifiées (SASs), groupements d’intérêt économique (GIEs), foundations (fondations), cooperatives subject to the OHADA Uniform Act on cooperative societies, branches and representative offices of foreign entities, and equivalent forms recognised under Cameroonian law.</w:t>
      </w:r>
    </w:p>
    <w:p>
      <w:pPr>
        <w:pStyle w:val="ListParagraph"/>
        <w:numPr>
          <w:ilvl w:val="0"/>
          <w:numId w:val="2"/>
        </w:numPr>
        <w:spacing w:after="80" w:line="300"/>
      </w:pPr>
      <w:r>
        <w:rPr>
          <w:rFonts w:ascii="Arial" w:cs="Arial" w:eastAsia="Arial" w:hAnsi="Arial"/>
          <w:color w:val="2C2C2A"/>
          <w:sz w:val="22"/>
          <w:szCs w:val="22"/>
        </w:rPr>
        <w:t xml:space="preserve">Cross-referencing of declared beneficial owners against the national identity register (BUNEC), the tax identification register (NIU), the immigration database for foreign nationals, the Agence de Régulation des Marchés Publics (ARMP) bidder registry, the sectoral concession cadastres (MINMIDT for mining, MINFOF for forestry, SNH for hydrocarbons), and the Direction Générale des Impôts taxpayer rolls.</w:t>
      </w:r>
    </w:p>
    <w:p>
      <w:pPr>
        <w:pStyle w:val="ListParagraph"/>
        <w:numPr>
          <w:ilvl w:val="0"/>
          <w:numId w:val="2"/>
        </w:numPr>
        <w:spacing w:after="80" w:line="300"/>
      </w:pPr>
      <w:r>
        <w:rPr>
          <w:rFonts w:ascii="Arial" w:cs="Arial" w:eastAsia="Arial" w:hAnsi="Arial"/>
          <w:color w:val="2C2C2A"/>
          <w:sz w:val="22"/>
          <w:szCs w:val="22"/>
        </w:rPr>
        <w:t xml:space="preserve">Screening of declared beneficial owners against international sanctions lists (United Nations Security Council, US Office of Foreign Assets Control, European Union consolidated list, United Kingdom HM Treasury, INTERPOL notices), commercial international politically-exposed-persons feeds, the sovereign domestic politically-exposed-persons register, and curated multilingual adverse-media corpora and leaked offshore data archives.</w:t>
      </w:r>
    </w:p>
    <w:p>
      <w:pPr>
        <w:pStyle w:val="ListParagraph"/>
        <w:numPr>
          <w:ilvl w:val="0"/>
          <w:numId w:val="2"/>
        </w:numPr>
        <w:spacing w:after="80" w:line="300"/>
      </w:pPr>
      <w:r>
        <w:rPr>
          <w:rFonts w:ascii="Arial" w:cs="Arial" w:eastAsia="Arial" w:hAnsi="Arial"/>
          <w:color w:val="2C2C2A"/>
          <w:sz w:val="22"/>
          <w:szCs w:val="22"/>
        </w:rPr>
        <w:t xml:space="preserve">Pattern detection across declared ownership structures for the eight signature classes documented in Layer 3 of this specification, with particular emphasis on detection of front-person declarations — the dominant failure mode in beneficial ownership systems.</w:t>
      </w:r>
    </w:p>
    <w:p>
      <w:pPr>
        <w:pStyle w:val="ListParagraph"/>
        <w:numPr>
          <w:ilvl w:val="0"/>
          <w:numId w:val="2"/>
        </w:numPr>
        <w:spacing w:after="80" w:line="300"/>
      </w:pPr>
      <w:r>
        <w:rPr>
          <w:rFonts w:ascii="Arial" w:cs="Arial" w:eastAsia="Arial" w:hAnsi="Arial"/>
          <w:color w:val="2C2C2A"/>
          <w:sz w:val="22"/>
          <w:szCs w:val="22"/>
        </w:rPr>
        <w:t xml:space="preserve">Tiered access to verified beneficial ownership data: a statutory public tier for procurement-relevant and concession-relevant entities, a restricted tier accessible to authorised officials at the eight consortium institutions under audit, and an encrypted tier for sensitive records requiring threshold-signed quorum approval.</w:t>
      </w:r>
    </w:p>
    <w:p>
      <w:pPr>
        <w:pStyle w:val="ListParagraph"/>
        <w:numPr>
          <w:ilvl w:val="0"/>
          <w:numId w:val="2"/>
        </w:numPr>
        <w:spacing w:after="80" w:line="300"/>
      </w:pPr>
      <w:r>
        <w:rPr>
          <w:rFonts w:ascii="Arial" w:cs="Arial" w:eastAsia="Arial" w:hAnsi="Arial"/>
          <w:color w:val="2C2C2A"/>
          <w:sz w:val="22"/>
          <w:szCs w:val="22"/>
        </w:rPr>
        <w:t xml:space="preserve">Real-time and bulk integration with eight named institutional consumers: ARMP, ANIF (via goAML), DGI, BEAC and the Cameroonian banking sector, the customs administration (via ASYCUDA), the sectoral concession cadastres, CONAC, and the international cooperation channels operated through INTERPOL I-24/7 and the StAR network.</w:t>
      </w:r>
    </w:p>
    <w:p>
      <w:pPr>
        <w:pStyle w:val="ListParagraph"/>
        <w:numPr>
          <w:ilvl w:val="0"/>
          <w:numId w:val="2"/>
        </w:numPr>
        <w:spacing w:after="80" w:line="300"/>
      </w:pPr>
      <w:r>
        <w:rPr>
          <w:rFonts w:ascii="Arial" w:cs="Arial" w:eastAsia="Arial" w:hAnsi="Arial"/>
          <w:color w:val="2C2C2A"/>
          <w:sz w:val="22"/>
          <w:szCs w:val="22"/>
        </w:rPr>
        <w:t xml:space="preserve">Whistleblower intake for evidence of false declarations or undeclared beneficial control, operated through a Tor-accessible service with optional full anonymity and structured triage.</w:t>
      </w:r>
    </w:p>
    <w:p>
      <w:pPr>
        <w:pStyle w:val="ListParagraph"/>
        <w:numPr>
          <w:ilvl w:val="0"/>
          <w:numId w:val="2"/>
        </w:numPr>
        <w:spacing w:after="80" w:line="300"/>
      </w:pPr>
      <w:r>
        <w:rPr>
          <w:rFonts w:ascii="Arial" w:cs="Arial" w:eastAsia="Arial" w:hAnsi="Arial"/>
          <w:color w:val="2C2C2A"/>
          <w:sz w:val="22"/>
          <w:szCs w:val="22"/>
        </w:rPr>
        <w:t xml:space="preserve">Investigation workbench for ANIF, CONAC, TCS, and judicial police investigators, with graph visualisation, time-slider historical reconstruction, evidence-package generation, and cryptographic chain of custody.</w:t>
      </w:r>
    </w:p>
    <w:p>
      <w:pPr>
        <w:pStyle w:val="ListParagraph"/>
        <w:numPr>
          <w:ilvl w:val="0"/>
          <w:numId w:val="2"/>
        </w:numPr>
        <w:spacing w:after="80" w:line="300"/>
      </w:pPr>
      <w:r>
        <w:rPr>
          <w:rFonts w:ascii="Arial" w:cs="Arial" w:eastAsia="Arial" w:hAnsi="Arial"/>
          <w:color w:val="2C2C2A"/>
          <w:sz w:val="22"/>
          <w:szCs w:val="22"/>
        </w:rPr>
        <w:t xml:space="preserve">Public portal for citizens, journalists, civil society, and foreign due-diligence consumers, with BODS-compliant data download and rate-limited fielded search.</w:t>
      </w:r>
    </w:p>
    <w:p>
      <w:pPr>
        <w:pStyle w:val="Heading3"/>
        <w:spacing w:after="120" w:before="240"/>
      </w:pPr>
      <w:r>
        <w:rPr>
          <w:rFonts w:ascii="Arial" w:cs="Arial" w:eastAsia="Arial" w:hAnsi="Arial"/>
          <w:b/>
          <w:bCs/>
          <w:color w:val="1A1A1A"/>
          <w:sz w:val="24"/>
          <w:szCs w:val="24"/>
        </w:rPr>
        <w:t xml:space="preserve">Out of scope</w:t>
      </w:r>
    </w:p>
    <w:p>
      <w:pPr>
        <w:spacing w:after="140" w:line="320"/>
        <w:jc w:val="both"/>
      </w:pPr>
      <w:r>
        <w:rPr>
          <w:rFonts w:ascii="Arial" w:cs="Arial" w:eastAsia="Arial" w:hAnsi="Arial"/>
          <w:b w:val="false"/>
          <w:bCs w:val="false"/>
          <w:i w:val="false"/>
          <w:iCs w:val="false"/>
          <w:color w:val="2C2C2A"/>
          <w:sz w:val="22"/>
          <w:szCs w:val="22"/>
        </w:rPr>
        <w:t xml:space="preserve">RÉCOR is deliberately bounded. The following functional areas are out of scope for the platform itself, although the platform exposes data and integration surfaces that other systems addressing these areas can consume.</w:t>
      </w:r>
    </w:p>
    <w:p>
      <w:pPr>
        <w:pStyle w:val="ListParagraph"/>
        <w:numPr>
          <w:ilvl w:val="0"/>
          <w:numId w:val="2"/>
        </w:numPr>
        <w:spacing w:after="80" w:line="300"/>
      </w:pPr>
      <w:r>
        <w:rPr>
          <w:rFonts w:ascii="Arial" w:cs="Arial" w:eastAsia="Arial" w:hAnsi="Arial"/>
          <w:color w:val="2C2C2A"/>
          <w:sz w:val="22"/>
          <w:szCs w:val="22"/>
        </w:rPr>
        <w:t xml:space="preserve">RÉCOR is not a tax administration system. It enriches DGI’s tax administration capability through shared beneficial ownership detection, but the tax computation, audit workflow, and revenue collection remain the responsibility of DGI’s existing systems.</w:t>
      </w:r>
    </w:p>
    <w:p>
      <w:pPr>
        <w:pStyle w:val="ListParagraph"/>
        <w:numPr>
          <w:ilvl w:val="0"/>
          <w:numId w:val="2"/>
        </w:numPr>
        <w:spacing w:after="80" w:line="300"/>
      </w:pPr>
      <w:r>
        <w:rPr>
          <w:rFonts w:ascii="Arial" w:cs="Arial" w:eastAsia="Arial" w:hAnsi="Arial"/>
          <w:color w:val="2C2C2A"/>
          <w:sz w:val="22"/>
          <w:szCs w:val="22"/>
        </w:rPr>
        <w:t xml:space="preserve">RÉCOR is not a financial intelligence unit. It enriches ANIF’s suspicious transaction report analysis through real-time beneficial ownership context, but the financial intelligence analysis and case management remain the responsibility of ANIF and the goAML deployment.</w:t>
      </w:r>
    </w:p>
    <w:p>
      <w:pPr>
        <w:pStyle w:val="ListParagraph"/>
        <w:numPr>
          <w:ilvl w:val="0"/>
          <w:numId w:val="2"/>
        </w:numPr>
        <w:spacing w:after="80" w:line="300"/>
      </w:pPr>
      <w:r>
        <w:rPr>
          <w:rFonts w:ascii="Arial" w:cs="Arial" w:eastAsia="Arial" w:hAnsi="Arial"/>
          <w:color w:val="2C2C2A"/>
          <w:sz w:val="22"/>
          <w:szCs w:val="22"/>
        </w:rPr>
        <w:t xml:space="preserve">RÉCOR is not a public procurement platform. It enriches ARMP’s bid evaluation through real-time conflict-of-interest detection, but the procurement workflow, evaluation, and award remain the responsibility of ARMP’s existing portal.</w:t>
      </w:r>
    </w:p>
    <w:p>
      <w:pPr>
        <w:pStyle w:val="ListParagraph"/>
        <w:numPr>
          <w:ilvl w:val="0"/>
          <w:numId w:val="2"/>
        </w:numPr>
        <w:spacing w:after="80" w:line="300"/>
      </w:pPr>
      <w:r>
        <w:rPr>
          <w:rFonts w:ascii="Arial" w:cs="Arial" w:eastAsia="Arial" w:hAnsi="Arial"/>
          <w:color w:val="2C2C2A"/>
          <w:sz w:val="22"/>
          <w:szCs w:val="22"/>
        </w:rPr>
        <w:t xml:space="preserve">RÉCOR is not a criminal case management system. It generates evidence packages with cryptographic chain of custody for use by ANIF, CONAC, TCS, and judicial authorities, but the prosecution workflow and judicial case management remain outside its scope.</w:t>
      </w:r>
    </w:p>
    <w:p>
      <w:pPr>
        <w:pStyle w:val="ListParagraph"/>
        <w:numPr>
          <w:ilvl w:val="0"/>
          <w:numId w:val="2"/>
        </w:numPr>
        <w:spacing w:after="80" w:line="300"/>
      </w:pPr>
      <w:r>
        <w:rPr>
          <w:rFonts w:ascii="Arial" w:cs="Arial" w:eastAsia="Arial" w:hAnsi="Arial"/>
          <w:color w:val="2C2C2A"/>
          <w:sz w:val="22"/>
          <w:szCs w:val="22"/>
        </w:rPr>
        <w:t xml:space="preserve">RÉCOR is not a public asset register or a real estate cadastre. It cross-references against the existing real estate transaction records held by MINDCAF and the conservation foncière system for the purposes of beneficial ownership verification, but it does not replace those systems.</w:t>
      </w:r>
    </w:p>
    <w:p>
      <w:pPr>
        <w:pStyle w:val="ListParagraph"/>
        <w:numPr>
          <w:ilvl w:val="0"/>
          <w:numId w:val="2"/>
        </w:numPr>
        <w:spacing w:after="80" w:line="300"/>
      </w:pPr>
      <w:r>
        <w:rPr>
          <w:rFonts w:ascii="Arial" w:cs="Arial" w:eastAsia="Arial" w:hAnsi="Arial"/>
          <w:color w:val="2C2C2A"/>
          <w:sz w:val="22"/>
          <w:szCs w:val="22"/>
        </w:rPr>
        <w:t xml:space="preserve">RÉCOR is not a substitute for the OHADA Uniform Act’s commercial registration function operated by CFCE. It complements CFCE’s commercial registration with a parallel beneficial ownership declaration that is mandatory at incorporation and that gates downstream administrative actions.</w:t>
      </w:r>
    </w:p>
    <w:p>
      <w:pPr>
        <w:pStyle w:val="Heading2"/>
        <w:spacing w:after="160" w:before="320"/>
      </w:pPr>
      <w:r>
        <w:rPr>
          <w:rFonts w:ascii="Arial" w:cs="Arial" w:eastAsia="Arial" w:hAnsi="Arial"/>
          <w:b/>
          <w:bCs/>
          <w:color w:val="1A1A1A"/>
          <w:sz w:val="28"/>
          <w:szCs w:val="28"/>
        </w:rPr>
        <w:t xml:space="preserve">Design principles</w:t>
      </w:r>
    </w:p>
    <w:p>
      <w:pPr>
        <w:spacing w:after="140" w:line="320"/>
        <w:jc w:val="both"/>
      </w:pPr>
      <w:r>
        <w:rPr>
          <w:rFonts w:ascii="Arial" w:cs="Arial" w:eastAsia="Arial" w:hAnsi="Arial"/>
          <w:b w:val="false"/>
          <w:bCs w:val="false"/>
          <w:i w:val="false"/>
          <w:iCs w:val="false"/>
          <w:color w:val="2C2C2A"/>
          <w:sz w:val="22"/>
          <w:szCs w:val="22"/>
        </w:rPr>
        <w:t xml:space="preserve">Eight design principles govern every architectural and engineering decision in this specification. Where future decisions during build or operation must choose between alternatives, these principles are the tie-breakers.</w:t>
      </w:r>
    </w:p>
    <w:p>
      <w:pPr>
        <w:pStyle w:val="ListParagraph"/>
        <w:numPr>
          <w:ilvl w:val="0"/>
          <w:numId w:val="2"/>
        </w:numPr>
        <w:spacing w:after="100" w:line="300"/>
      </w:pPr>
      <w:r>
        <w:rPr>
          <w:rFonts w:ascii="Arial" w:cs="Arial" w:eastAsia="Arial" w:hAnsi="Arial"/>
          <w:b/>
          <w:bCs/>
          <w:color w:val="1A1A1A"/>
          <w:sz w:val="22"/>
          <w:szCs w:val="22"/>
        </w:rPr>
        <w:t xml:space="preserve">Sovereignty by construction. </w:t>
      </w:r>
      <w:r>
        <w:rPr>
          <w:rFonts w:ascii="Arial" w:cs="Arial" w:eastAsia="Arial" w:hAnsi="Arial"/>
          <w:color w:val="2C2C2A"/>
          <w:sz w:val="22"/>
          <w:szCs w:val="22"/>
        </w:rPr>
        <w:t xml:space="preserve">Cryptographic root of trust, data residency, and operational control reside within Cameroonian institutional authority. Where international infrastructure is used (for example AWS Bedrock for Tier B inference), it is consumed through private network paths with no public internet egress, and the data flowing through such infrastructure is pseudonymised at the gateway. Sovereignty is not a claim made in the document; it is a property verifiable at the network and cryptographic layers.</w:t>
      </w:r>
    </w:p>
    <w:p>
      <w:pPr>
        <w:pStyle w:val="ListParagraph"/>
        <w:numPr>
          <w:ilvl w:val="0"/>
          <w:numId w:val="2"/>
        </w:numPr>
        <w:spacing w:after="100" w:line="300"/>
      </w:pPr>
      <w:r>
        <w:rPr>
          <w:rFonts w:ascii="Arial" w:cs="Arial" w:eastAsia="Arial" w:hAnsi="Arial"/>
          <w:b/>
          <w:bCs/>
          <w:color w:val="1A1A1A"/>
          <w:sz w:val="22"/>
          <w:szCs w:val="22"/>
        </w:rPr>
        <w:t xml:space="preserve">Adversarial verification over data capture. </w:t>
      </w:r>
      <w:r>
        <w:rPr>
          <w:rFonts w:ascii="Arial" w:cs="Arial" w:eastAsia="Arial" w:hAnsi="Arial"/>
          <w:color w:val="2C2C2A"/>
          <w:sz w:val="22"/>
          <w:szCs w:val="22"/>
        </w:rPr>
        <w:t xml:space="preserve">The hard problem is not getting declarations in; it is verifying that declared identities are not fronts. The verification engine receives the largest share of engineering investment and the highest-capability artificial intelligence routing.</w:t>
      </w:r>
    </w:p>
    <w:p>
      <w:pPr>
        <w:pStyle w:val="ListParagraph"/>
        <w:numPr>
          <w:ilvl w:val="0"/>
          <w:numId w:val="2"/>
        </w:numPr>
        <w:spacing w:after="100" w:line="300"/>
      </w:pPr>
      <w:r>
        <w:rPr>
          <w:rFonts w:ascii="Arial" w:cs="Arial" w:eastAsia="Arial" w:hAnsi="Arial"/>
          <w:b/>
          <w:bCs/>
          <w:color w:val="1A1A1A"/>
          <w:sz w:val="22"/>
          <w:szCs w:val="22"/>
        </w:rPr>
        <w:t xml:space="preserve">Political resilience designed in. </w:t>
      </w:r>
      <w:r>
        <w:rPr>
          <w:rFonts w:ascii="Arial" w:cs="Arial" w:eastAsia="Arial" w:hAnsi="Arial"/>
          <w:color w:val="2C2C2A"/>
          <w:sz w:val="22"/>
          <w:szCs w:val="22"/>
        </w:rPr>
        <w:t xml:space="preserve">The platform must survive political turnover, attempted capture by single factions, and the first politically inconvenient public match without losing institutional credibility. This is achieved through external sovereignty-independent anchoring, multi-organisation consortium endorsement, threshold-signed access for sensitive records, statutory (not administrative) opening of the public tier, and non-state seats on the consortium with hard veto over data takedowns.</w:t>
      </w:r>
    </w:p>
    <w:p>
      <w:pPr>
        <w:pStyle w:val="ListParagraph"/>
        <w:numPr>
          <w:ilvl w:val="0"/>
          <w:numId w:val="2"/>
        </w:numPr>
        <w:spacing w:after="100" w:line="300"/>
      </w:pPr>
      <w:r>
        <w:rPr>
          <w:rFonts w:ascii="Arial" w:cs="Arial" w:eastAsia="Arial" w:hAnsi="Arial"/>
          <w:b/>
          <w:bCs/>
          <w:color w:val="1A1A1A"/>
          <w:sz w:val="22"/>
          <w:szCs w:val="22"/>
        </w:rPr>
        <w:t xml:space="preserve">Fail-closed at integration boundaries. </w:t>
      </w:r>
      <w:r>
        <w:rPr>
          <w:rFonts w:ascii="Arial" w:cs="Arial" w:eastAsia="Arial" w:hAnsi="Arial"/>
          <w:color w:val="2C2C2A"/>
          <w:sz w:val="22"/>
          <w:szCs w:val="22"/>
        </w:rPr>
        <w:t xml:space="preserve">Where the platform integrates with consumer systems that take consequential actions — ARMP awarding a tender, customs releasing a container, a bank opening an account — the integration contract is that if RÉCOR cannot respond within the service-level objective, the consumer holds the action rather than approving it. This is the only safe default for a verification platform; it requires negotiation with each consumer institution to accept the operational consequences.</w:t>
      </w:r>
    </w:p>
    <w:p>
      <w:pPr>
        <w:pStyle w:val="ListParagraph"/>
        <w:numPr>
          <w:ilvl w:val="0"/>
          <w:numId w:val="2"/>
        </w:numPr>
        <w:spacing w:after="100" w:line="300"/>
      </w:pPr>
      <w:r>
        <w:rPr>
          <w:rFonts w:ascii="Arial" w:cs="Arial" w:eastAsia="Arial" w:hAnsi="Arial"/>
          <w:b/>
          <w:bCs/>
          <w:color w:val="1A1A1A"/>
          <w:sz w:val="22"/>
          <w:szCs w:val="22"/>
        </w:rPr>
        <w:t xml:space="preserve">Open by default at the public tier. </w:t>
      </w:r>
      <w:r>
        <w:rPr>
          <w:rFonts w:ascii="Arial" w:cs="Arial" w:eastAsia="Arial" w:hAnsi="Arial"/>
          <w:color w:val="2C2C2A"/>
          <w:sz w:val="22"/>
          <w:szCs w:val="22"/>
        </w:rPr>
        <w:t xml:space="preserve">The procurement-relevant and concession-relevant public tier is open by statute, not by administrative discretion. This prevents the public tier from being quietly closed at the first politically inconvenient match. Closure or takedown of any individual record at the public tier requires formal legal process with external observer sign-off.</w:t>
      </w:r>
    </w:p>
    <w:p>
      <w:pPr>
        <w:pStyle w:val="ListParagraph"/>
        <w:numPr>
          <w:ilvl w:val="0"/>
          <w:numId w:val="2"/>
        </w:numPr>
        <w:spacing w:after="100" w:line="300"/>
      </w:pPr>
      <w:r>
        <w:rPr>
          <w:rFonts w:ascii="Arial" w:cs="Arial" w:eastAsia="Arial" w:hAnsi="Arial"/>
          <w:b/>
          <w:bCs/>
          <w:color w:val="1A1A1A"/>
          <w:sz w:val="22"/>
          <w:szCs w:val="22"/>
        </w:rPr>
        <w:t xml:space="preserve">Cryptographic provenance everywhere. </w:t>
      </w:r>
      <w:r>
        <w:rPr>
          <w:rFonts w:ascii="Arial" w:cs="Arial" w:eastAsia="Arial" w:hAnsi="Arial"/>
          <w:color w:val="2C2C2A"/>
          <w:sz w:val="22"/>
          <w:szCs w:val="22"/>
        </w:rPr>
        <w:t xml:space="preserve">Every state change in the platform is cryptographically signed and anchored. Every access to restricted-tier or encrypted-tier data is logged with the policy decision that authorised it. Every piece of evidence in an evidence package generated by the Investigation Workbench carries cryptographic chain of custody back to the underlying declaration and verification events.</w:t>
      </w:r>
    </w:p>
    <w:p>
      <w:pPr>
        <w:pStyle w:val="ListParagraph"/>
        <w:numPr>
          <w:ilvl w:val="0"/>
          <w:numId w:val="2"/>
        </w:numPr>
        <w:spacing w:after="100" w:line="300"/>
      </w:pPr>
      <w:r>
        <w:rPr>
          <w:rFonts w:ascii="Arial" w:cs="Arial" w:eastAsia="Arial" w:hAnsi="Arial"/>
          <w:b/>
          <w:bCs/>
          <w:color w:val="1A1A1A"/>
          <w:sz w:val="22"/>
          <w:szCs w:val="22"/>
        </w:rPr>
        <w:t xml:space="preserve">Anthropic-primary for artificial intelligence reasoning. </w:t>
      </w:r>
      <w:r>
        <w:rPr>
          <w:rFonts w:ascii="Arial" w:cs="Arial" w:eastAsia="Arial" w:hAnsi="Arial"/>
          <w:color w:val="2C2C2A"/>
          <w:sz w:val="22"/>
          <w:szCs w:val="22"/>
        </w:rPr>
        <w:t xml:space="preserve">Where the platform employs large language model reasoning, Claude Opus 4.7 is the primary model and is preferred for every reasoning task where its capability is appropriate to the workload. Claude Sonnet 4.6 is the cost-sensitive fallback within the Anthropic family. Sovereign on-premises Llama 3.3 70B Instruct, with Mistral Large 2 as a secondary sovereign option, is reserved for the residual cases where raw personally identifiable information must remain on Cameroonian soil. This routing discipline is enforced at the inference API gateway, not by convention.</w:t>
      </w:r>
    </w:p>
    <w:p>
      <w:pPr>
        <w:pStyle w:val="ListParagraph"/>
        <w:numPr>
          <w:ilvl w:val="0"/>
          <w:numId w:val="2"/>
        </w:numPr>
        <w:spacing w:after="100" w:line="300"/>
      </w:pPr>
      <w:r>
        <w:rPr>
          <w:rFonts w:ascii="Arial" w:cs="Arial" w:eastAsia="Arial" w:hAnsi="Arial"/>
          <w:b/>
          <w:bCs/>
          <w:color w:val="1A1A1A"/>
          <w:sz w:val="22"/>
          <w:szCs w:val="22"/>
        </w:rPr>
        <w:t xml:space="preserve">Evidence over claim. </w:t>
      </w:r>
      <w:r>
        <w:rPr>
          <w:rFonts w:ascii="Arial" w:cs="Arial" w:eastAsia="Arial" w:hAnsi="Arial"/>
          <w:color w:val="2C2C2A"/>
          <w:sz w:val="22"/>
          <w:szCs w:val="22"/>
        </w:rPr>
        <w:t xml:space="preserve">Every commitment in this specification is calibrated against measurable, verifiable evidence. Performance targets are stated as service-level objectives with quantitative thresholds. Engineering standards are stated as policy gates in continuous integration. Compliance posture is stated as alignment with named international standards with audit attestation. The specification commits to what is verifiable; it does not commit to what is rhetorical.</w:t>
      </w:r>
    </w:p>
    <w:p>
      <w:pPr>
        <w:pStyle w:val="Heading1"/>
        <w:pageBreakBefore/>
        <w:spacing w:after="240" w:before="480"/>
      </w:pPr>
      <w:r>
        <w:rPr>
          <w:rFonts w:ascii="Arial" w:cs="Arial" w:eastAsia="Arial" w:hAnsi="Arial"/>
          <w:b/>
          <w:bCs/>
          <w:color w:val="1A1A1A"/>
          <w:sz w:val="36"/>
          <w:szCs w:val="36"/>
        </w:rPr>
        <w:t xml:space="preserve">Architecture Overview</w:t>
      </w:r>
    </w:p>
    <w:p>
      <w:pPr>
        <w:spacing w:after="140" w:line="320"/>
        <w:jc w:val="both"/>
      </w:pPr>
      <w:r>
        <w:rPr>
          <w:rFonts w:ascii="Arial" w:cs="Arial" w:eastAsia="Arial" w:hAnsi="Arial"/>
          <w:b w:val="false"/>
          <w:bCs w:val="false"/>
          <w:i w:val="false"/>
          <w:iCs w:val="false"/>
          <w:color w:val="2C2C2A"/>
          <w:sz w:val="22"/>
          <w:szCs w:val="22"/>
        </w:rPr>
        <w:t xml:space="preserve">RÉCOR is organised as seven concentric layers of capability, each with strict trust boundaries, each independently auditable, each replaceable without rebuilding the others. The layering serves three orthogonal purposes simultaneously: it separates concerns so that each layer can be reasoned about and built by a small team; it establishes trust boundaries so that compromise of one layer does not propagate; and it permits institutional ownership of different layers by different teams within the consortium, which is the political-resilience property that prevents capture of the platform by any single institutional actor.</w:t>
      </w:r>
    </w:p>
    <w:p>
      <w:pPr>
        <w:pStyle w:val="Heading2"/>
        <w:spacing w:after="160" w:before="320"/>
      </w:pPr>
      <w:r>
        <w:rPr>
          <w:rFonts w:ascii="Arial" w:cs="Arial" w:eastAsia="Arial" w:hAnsi="Arial"/>
          <w:b/>
          <w:bCs/>
          <w:color w:val="1A1A1A"/>
          <w:sz w:val="28"/>
          <w:szCs w:val="28"/>
        </w:rPr>
        <w:t xml:space="preserve">The seven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Layer</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Function and key technologies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 and Sovereignty Substrate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Hardware-rooted trust. Thales Luna HSMs at two sites. Hyperledger Fabric 3.x ten-organisation consortium ledger. FROST-Ed25519 threshold signatures. Halo2 zero-knowledge proofs. OpenTimestamps anchoring to Bitcoin for sovereignty-independent historical integrity.</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Storage Substrate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Five storage technologies, each load-bearing for a different access pattern. PostgreSQL 16 system of record. Neo4j Enterprise clustered for the ownership graph. OpenSearch for fuzzy entity resolution. Apache Kafka with infinite retention as the event log. MinIO for object storage. Envelope encryption throughout, keys managed by the HSM-backed KMS.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 Services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Twelve bounded contexts, each a separately deployed service. Communication via gRPC with mTLS through SPIFFE/SPIRE-issued workload identities. Temporal for long-running workflows. Institutional service ownership: the Audit Service operated independently from the rest.</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heart of the platform. Nine-stage pipeline processing every declaration. Anthropic-primary three-tier AI inference. Dempster–Shafer belief-function fusion. Eight pattern detection signature classes including the front-detection logic that catches the dominant failure mode.</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APIs and Integration Fabric</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GraphQL federation for complex queries. REST for high-throughput simple lookups. Webhooks for synchronous consumer integration. BODS v0.4 bulk export for international interoperability. Per-consumer rate limiting and audit.</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Integrations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contractual integrations with named institutional consumers: ARMP, ANIF via goAML, DGI, BEAC and the banking sector, customs via ASYCUDA, sectoral cadastres, CONAC asset declarations, and international cooperation via INTERPOL I-24/7 and the StAR network.</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User-Facing Applications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Six role-specific applications: Declarant Portal, Officer Console, Investigation Workbench, Public Portal, Whistleblower Intake on Tor, and Administrative Console for registry governance.</w:t>
            </w:r>
          </w:p>
        </w:tc>
      </w:tr>
    </w:tbl>
    <w:p>
      <w:pPr>
        <w:pStyle w:val="Heading2"/>
        <w:spacing w:after="160" w:before="320"/>
      </w:pPr>
      <w:r>
        <w:rPr>
          <w:rFonts w:ascii="Arial" w:cs="Arial" w:eastAsia="Arial" w:hAnsi="Arial"/>
          <w:b/>
          <w:bCs/>
          <w:color w:val="1A1A1A"/>
          <w:sz w:val="28"/>
          <w:szCs w:val="28"/>
        </w:rPr>
        <w:t xml:space="preserve">How the layers compose</w:t>
      </w:r>
    </w:p>
    <w:p>
      <w:pPr>
        <w:spacing w:after="140" w:line="320"/>
        <w:jc w:val="both"/>
      </w:pPr>
      <w:r>
        <w:rPr>
          <w:rFonts w:ascii="Arial" w:cs="Arial" w:eastAsia="Arial" w:hAnsi="Arial"/>
          <w:b w:val="false"/>
          <w:bCs w:val="false"/>
          <w:i w:val="false"/>
          <w:iCs w:val="false"/>
          <w:color w:val="2C2C2A"/>
          <w:sz w:val="22"/>
          <w:szCs w:val="22"/>
        </w:rPr>
        <w:t xml:space="preserve">Reading from the substrate upward, the platform operates as follows. Cryptographic primitives in Layer 0 establish hardware-rooted trust and consortium endorsement. Layer 1 provides the storage substrate for the canonical data model with encryption keys rooted in Layer 0. Layer 2 implements the domain logic of the registry as twelve cohesive services that communicate over authenticated channels and persist state through Layer 1. Layer 3, the verification engine, orchestrates a pipeline that calls Layer 2 services, reasons over the resulting evidence using Anthropic-primary AI inference, and writes verification outcomes back through Layer 2 into Layer 1. Layer 4 exposes the resulting data through APIs governed by the access policies enforced by Layer 2’s Access Service. Layer 5 implements the contractual integrations with the eight institutional consumers, operating through Layer 4. Layer 6 implements the six role-specific applications that human users interact with directly, operating through Layer 4 and Layer 5.</w:t>
      </w:r>
    </w:p>
    <w:p>
      <w:pPr>
        <w:spacing w:after="140" w:line="320"/>
        <w:jc w:val="both"/>
      </w:pPr>
      <w:r>
        <w:rPr>
          <w:rFonts w:ascii="Arial" w:cs="Arial" w:eastAsia="Arial" w:hAnsi="Arial"/>
          <w:b w:val="false"/>
          <w:bCs w:val="false"/>
          <w:i w:val="false"/>
          <w:iCs w:val="false"/>
          <w:color w:val="2C2C2A"/>
          <w:sz w:val="22"/>
          <w:szCs w:val="22"/>
        </w:rPr>
        <w:t xml:space="preserve">This composition is not arbitrary. Each layer’s interface to the layer immediately below it is the contract that permits substitution. The cryptographic substrate could in principle be migrated from Hyperledger Fabric to an alternative permissioned ledger without rebuilding Layers 2 through 6, provided the new substrate honours the same endorsement and anchoring contracts. The storage substrate could in principle migrate Neo4j to JanusGraph for the graph layer without affecting Layer 3 or above, provided the graph query contract is honoured. This is not theoretical: it is the property that protects the platform from technology lock-in and that permits independent evolution of each layer as the technology landscape changes over the platform’s operational lifetime.</w:t>
      </w:r>
    </w:p>
    <w:p>
      <w:pPr>
        <w:pStyle w:val="Heading2"/>
        <w:spacing w:after="160" w:before="320"/>
      </w:pPr>
      <w:r>
        <w:rPr>
          <w:rFonts w:ascii="Arial" w:cs="Arial" w:eastAsia="Arial" w:hAnsi="Arial"/>
          <w:b/>
          <w:bCs/>
          <w:color w:val="1A1A1A"/>
          <w:sz w:val="28"/>
          <w:szCs w:val="28"/>
        </w:rPr>
        <w:t xml:space="preserve">Cross-cutting concerns</w:t>
      </w:r>
    </w:p>
    <w:p>
      <w:pPr>
        <w:spacing w:after="140" w:line="320"/>
        <w:jc w:val="both"/>
      </w:pPr>
      <w:r>
        <w:rPr>
          <w:rFonts w:ascii="Arial" w:cs="Arial" w:eastAsia="Arial" w:hAnsi="Arial"/>
          <w:b w:val="false"/>
          <w:bCs w:val="false"/>
          <w:i w:val="false"/>
          <w:iCs w:val="false"/>
          <w:color w:val="2C2C2A"/>
          <w:sz w:val="22"/>
          <w:szCs w:val="22"/>
        </w:rPr>
        <w:t xml:space="preserve">Several capabilities cut across the seven layers and are documented separately later in this specification rather than as components of any single layer. These cross-cutting concerns are listed here for the reader’s orientation.</w:t>
      </w:r>
    </w:p>
    <w:p>
      <w:pPr>
        <w:pStyle w:val="ListParagraph"/>
        <w:numPr>
          <w:ilvl w:val="0"/>
          <w:numId w:val="2"/>
        </w:numPr>
        <w:spacing w:after="100" w:line="300"/>
      </w:pPr>
      <w:r>
        <w:rPr>
          <w:rFonts w:ascii="Arial" w:cs="Arial" w:eastAsia="Arial" w:hAnsi="Arial"/>
          <w:b/>
          <w:bCs/>
          <w:color w:val="1A1A1A"/>
          <w:sz w:val="22"/>
          <w:szCs w:val="22"/>
        </w:rPr>
        <w:t xml:space="preserve">Artificial intelligence inference strategy. </w:t>
      </w:r>
      <w:r>
        <w:rPr>
          <w:rFonts w:ascii="Arial" w:cs="Arial" w:eastAsia="Arial" w:hAnsi="Arial"/>
          <w:color w:val="2C2C2A"/>
          <w:sz w:val="22"/>
          <w:szCs w:val="22"/>
        </w:rPr>
        <w:t xml:space="preserve">The three-tier Anthropic-primary routing discipline operates principally at Layer 3 but also at Layer 6 (Investigation Workbench LLM assistance, Whistleblower Intake guided entry). The strategy is documented as a single cross-cutting chapter.</w:t>
      </w:r>
    </w:p>
    <w:p>
      <w:pPr>
        <w:pStyle w:val="ListParagraph"/>
        <w:numPr>
          <w:ilvl w:val="0"/>
          <w:numId w:val="2"/>
        </w:numPr>
        <w:spacing w:after="100" w:line="300"/>
      </w:pPr>
      <w:r>
        <w:rPr>
          <w:rFonts w:ascii="Arial" w:cs="Arial" w:eastAsia="Arial" w:hAnsi="Arial"/>
          <w:b/>
          <w:bCs/>
          <w:color w:val="1A1A1A"/>
          <w:sz w:val="22"/>
          <w:szCs w:val="22"/>
        </w:rPr>
        <w:t xml:space="preserve">Identity and access management. </w:t>
      </w:r>
      <w:r>
        <w:rPr>
          <w:rFonts w:ascii="Arial" w:cs="Arial" w:eastAsia="Arial" w:hAnsi="Arial"/>
          <w:color w:val="2C2C2A"/>
          <w:sz w:val="22"/>
          <w:szCs w:val="22"/>
        </w:rPr>
        <w:t xml:space="preserve">Authentication and authorisation operate at every layer. Workload identities are issued by SPIFFE/SPIRE. Human-user identities are issued through an OpenID Connect provider deployed within the platform, with hardware-token second factor for restricted and encrypted tier access.</w:t>
      </w:r>
    </w:p>
    <w:p>
      <w:pPr>
        <w:pStyle w:val="ListParagraph"/>
        <w:numPr>
          <w:ilvl w:val="0"/>
          <w:numId w:val="2"/>
        </w:numPr>
        <w:spacing w:after="100" w:line="300"/>
      </w:pPr>
      <w:r>
        <w:rPr>
          <w:rFonts w:ascii="Arial" w:cs="Arial" w:eastAsia="Arial" w:hAnsi="Arial"/>
          <w:b/>
          <w:bCs/>
          <w:color w:val="1A1A1A"/>
          <w:sz w:val="22"/>
          <w:szCs w:val="22"/>
        </w:rPr>
        <w:t xml:space="preserve">Observability. </w:t>
      </w:r>
      <w:r>
        <w:rPr>
          <w:rFonts w:ascii="Arial" w:cs="Arial" w:eastAsia="Arial" w:hAnsi="Arial"/>
          <w:color w:val="2C2C2A"/>
          <w:sz w:val="22"/>
          <w:szCs w:val="22"/>
        </w:rPr>
        <w:t xml:space="preserve">OpenTelemetry instrumentation runs through every service in Layer 2 and every application in Layer 6. Traces, metrics, and logs are correlated by trace identifier and aggregated through Prometheus, Loki, and Tempo. Service-level objectives are published per service with error budget policies that gate feature deployment.</w:t>
      </w:r>
    </w:p>
    <w:p>
      <w:pPr>
        <w:pStyle w:val="ListParagraph"/>
        <w:numPr>
          <w:ilvl w:val="0"/>
          <w:numId w:val="2"/>
        </w:numPr>
        <w:spacing w:after="100" w:line="300"/>
      </w:pPr>
      <w:r>
        <w:rPr>
          <w:rFonts w:ascii="Arial" w:cs="Arial" w:eastAsia="Arial" w:hAnsi="Arial"/>
          <w:b/>
          <w:bCs/>
          <w:color w:val="1A1A1A"/>
          <w:sz w:val="22"/>
          <w:szCs w:val="22"/>
        </w:rPr>
        <w:t xml:space="preserve">Security operations. </w:t>
      </w:r>
      <w:r>
        <w:rPr>
          <w:rFonts w:ascii="Arial" w:cs="Arial" w:eastAsia="Arial" w:hAnsi="Arial"/>
          <w:color w:val="2C2C2A"/>
          <w:sz w:val="22"/>
          <w:szCs w:val="22"/>
        </w:rPr>
        <w:t xml:space="preserve">Threat modelling per service, static and dynamic application security testing, supply chain security to SLSA Level 4, vulnerability scanning at every build, and annual red-team engagement are documented in the engineering standards and security chapters.</w:t>
      </w:r>
    </w:p>
    <w:p>
      <w:pPr>
        <w:pStyle w:val="ListParagraph"/>
        <w:numPr>
          <w:ilvl w:val="0"/>
          <w:numId w:val="2"/>
        </w:numPr>
        <w:spacing w:after="100" w:line="300"/>
      </w:pPr>
      <w:r>
        <w:rPr>
          <w:rFonts w:ascii="Arial" w:cs="Arial" w:eastAsia="Arial" w:hAnsi="Arial"/>
          <w:b/>
          <w:bCs/>
          <w:color w:val="1A1A1A"/>
          <w:sz w:val="22"/>
          <w:szCs w:val="22"/>
        </w:rPr>
        <w:t xml:space="preserve">Compliance posture. </w:t>
      </w:r>
      <w:r>
        <w:rPr>
          <w:rFonts w:ascii="Arial" w:cs="Arial" w:eastAsia="Arial" w:hAnsi="Arial"/>
          <w:color w:val="2C2C2A"/>
          <w:sz w:val="22"/>
          <w:szCs w:val="22"/>
        </w:rPr>
        <w:t xml:space="preserve">ISO 27001, SOC 2 Type II, and alignment with the EU NIS2 directive are documented in the security chapter. GDPR alignment for EU subjects (relevant for diaspora declarants) is also documented there.</w:t>
      </w:r>
    </w:p>
    <w:p>
      <w:pPr>
        <w:pStyle w:val="ListParagraph"/>
        <w:numPr>
          <w:ilvl w:val="0"/>
          <w:numId w:val="2"/>
        </w:numPr>
        <w:spacing w:after="100" w:line="300"/>
      </w:pPr>
      <w:r>
        <w:rPr>
          <w:rFonts w:ascii="Arial" w:cs="Arial" w:eastAsia="Arial" w:hAnsi="Arial"/>
          <w:b/>
          <w:bCs/>
          <w:color w:val="1A1A1A"/>
          <w:sz w:val="22"/>
          <w:szCs w:val="22"/>
        </w:rPr>
        <w:t xml:space="preserve">Legal framework. </w:t>
      </w:r>
      <w:r>
        <w:rPr>
          <w:rFonts w:ascii="Arial" w:cs="Arial" w:eastAsia="Arial" w:hAnsi="Arial"/>
          <w:color w:val="2C2C2A"/>
          <w:sz w:val="22"/>
          <w:szCs w:val="22"/>
        </w:rPr>
        <w:t xml:space="preserve">The implementing legislation, including the OHADA transposition amendment, penal provisions for false declaration, administrative authority for fines, statutory opening of the public tier, and encrypted-tier governance, is documented in a separate chapter and must be enacted in parallel with the technical build.</w:t>
      </w:r>
    </w:p>
    <w:p>
      <w:pPr>
        <w:pStyle w:val="Heading2"/>
        <w:spacing w:after="160" w:before="320"/>
      </w:pPr>
      <w:r>
        <w:rPr>
          <w:rFonts w:ascii="Arial" w:cs="Arial" w:eastAsia="Arial" w:hAnsi="Arial"/>
          <w:b/>
          <w:bCs/>
          <w:color w:val="1A1A1A"/>
          <w:sz w:val="28"/>
          <w:szCs w:val="28"/>
        </w:rPr>
        <w:t xml:space="preserve">What the layer-by-layer chapters contain</w:t>
      </w:r>
    </w:p>
    <w:p>
      <w:pPr>
        <w:spacing w:after="140" w:line="320"/>
        <w:jc w:val="both"/>
      </w:pPr>
      <w:r>
        <w:rPr>
          <w:rFonts w:ascii="Arial" w:cs="Arial" w:eastAsia="Arial" w:hAnsi="Arial"/>
          <w:b w:val="false"/>
          <w:bCs w:val="false"/>
          <w:i w:val="false"/>
          <w:iCs w:val="false"/>
          <w:color w:val="2C2C2A"/>
          <w:sz w:val="22"/>
          <w:szCs w:val="22"/>
        </w:rPr>
        <w:t xml:space="preserve">Each of the seven layer chapters that follows is organised in a uniform structure. First, the layer’s purpose and the architectural commitment it represents. Second, the components within the layer, with a specification of each. Third, the technology choices made and the rationale for each choice, including alternatives considered and the reasons for not selecting them. Fourth, the interface contracts to adjacent layers — what the layer consumes from the layer below and what it offers to the layer above. Fifth, the operational considerations including deployment topology, scaling characteristics, failure modes, and recovery procedures. This uniform structure permits readers to navigate quickly to the section of any layer that addresses their specific concern.</w:t>
      </w:r>
    </w:p>
    <w:p>
      <w:pPr>
        <w:pStyle w:val="Heading1"/>
        <w:pageBreakBefore/>
        <w:spacing w:after="240" w:before="480"/>
      </w:pPr>
      <w:r>
        <w:rPr>
          <w:rFonts w:ascii="Arial" w:cs="Arial" w:eastAsia="Arial" w:hAnsi="Arial"/>
          <w:b/>
          <w:bCs/>
          <w:color w:val="1A1A1A"/>
          <w:sz w:val="36"/>
          <w:szCs w:val="36"/>
        </w:rPr>
        <w:t xml:space="preserve">Layer 0 — Cryptographic and Sovereignty Substrate</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0 is the cryptographic and sovereignty substrate of the platform. Its architectural commitment is that every operation in any higher layer that requires authenticity, integrity, non-repudiation, or sovereignty-grounded trust roots in a primitive provided by Layer 0. No higher layer is permitted to perform cryptographic operations using software-resident key material. No higher layer is permitted to issue endorsement decisions, threshold-signed access grants, or cryptographic attestations outside the substrate. This discipline is the structural property that prevents accidental erosion of the platform’s cryptographic posture over its operational lifetime.</w:t>
      </w:r>
    </w:p>
    <w:p>
      <w:pPr>
        <w:pStyle w:val="Heading2"/>
        <w:spacing w:after="160" w:before="320"/>
      </w:pPr>
      <w:r>
        <w:rPr>
          <w:rFonts w:ascii="Arial" w:cs="Arial" w:eastAsia="Arial" w:hAnsi="Arial"/>
          <w:b/>
          <w:bCs/>
          <w:color w:val="1A1A1A"/>
          <w:sz w:val="28"/>
          <w:szCs w:val="28"/>
        </w:rPr>
        <w:t xml:space="preserve">Components</w:t>
      </w:r>
    </w:p>
    <w:p>
      <w:pPr>
        <w:pStyle w:val="Heading3"/>
        <w:spacing w:after="120" w:before="240"/>
      </w:pPr>
      <w:r>
        <w:rPr>
          <w:rFonts w:ascii="Arial" w:cs="Arial" w:eastAsia="Arial" w:hAnsi="Arial"/>
          <w:b/>
          <w:bCs/>
          <w:color w:val="1A1A1A"/>
          <w:sz w:val="24"/>
          <w:szCs w:val="24"/>
        </w:rPr>
        <w:t xml:space="preserve">Hardware security modules</w:t>
      </w:r>
    </w:p>
    <w:p>
      <w:pPr>
        <w:spacing w:after="140" w:line="320"/>
        <w:jc w:val="both"/>
      </w:pPr>
      <w:r>
        <w:rPr>
          <w:rFonts w:ascii="Arial" w:cs="Arial" w:eastAsia="Arial" w:hAnsi="Arial"/>
          <w:b w:val="false"/>
          <w:bCs w:val="false"/>
          <w:i w:val="false"/>
          <w:iCs w:val="false"/>
          <w:color w:val="2C2C2A"/>
          <w:sz w:val="22"/>
          <w:szCs w:val="22"/>
        </w:rPr>
        <w:t xml:space="preserve">The cryptographic root of trust for the entire platform is provided by Thales Luna Network HSMs (Luna Network HSM 7 or its successor) deployed at two physical sites in Yaoundé and Douala, with a third air-gapped ceremonial site at a location to be determined by the consortium during the build. Each operational site holds an active and a standby HSM, configured in a high-availability cluster. The ceremonial site holds a single HSM used only during scheduled key ceremonies.</w:t>
      </w:r>
    </w:p>
    <w:p>
      <w:pPr>
        <w:spacing w:after="140" w:line="320"/>
        <w:jc w:val="both"/>
      </w:pPr>
      <w:r>
        <w:rPr>
          <w:rFonts w:ascii="Arial" w:cs="Arial" w:eastAsia="Arial" w:hAnsi="Arial"/>
          <w:b w:val="false"/>
          <w:bCs w:val="false"/>
          <w:i w:val="false"/>
          <w:iCs w:val="false"/>
          <w:color w:val="2C2C2A"/>
          <w:sz w:val="22"/>
          <w:szCs w:val="22"/>
        </w:rPr>
        <w:t xml:space="preserve">All HSMs are deployed under the Common Criteria EAL4+ certification profile and operate in FIPS 140-2 Level 3 (or FIPS 140-3 Level 3 if available at the time of procurement). Procurement and shipping route is auditable: HSMs are shipped from the manufacturer directly to a designated cryptographic-officer-controlled facility, with seal verification on receipt and a documented chain of custody. Initialisation, key generation, and partition creation occur in a ceremonial setting with multiple cryptographic officers present from across the consortium membership, with all activities video-recorded and cryptographically attested in a published ceremony report.</w:t>
      </w:r>
    </w:p>
    <w:p>
      <w:pPr>
        <w:spacing w:after="140" w:line="320"/>
        <w:jc w:val="both"/>
      </w:pPr>
      <w:r>
        <w:rPr>
          <w:rFonts w:ascii="Arial" w:cs="Arial" w:eastAsia="Arial" w:hAnsi="Arial"/>
          <w:b w:val="false"/>
          <w:bCs w:val="false"/>
          <w:i w:val="false"/>
          <w:iCs w:val="false"/>
          <w:color w:val="2C2C2A"/>
          <w:sz w:val="22"/>
          <w:szCs w:val="22"/>
        </w:rPr>
        <w:t xml:space="preserve">HSM partitions are organised by trust domain. Each consortium member institution holds its own partition for its institutional signing key. The platform itself holds operational partitions for the inference API gateway key management, for the data encryption key envelope, for the ledger endorsement keys held in escrow, and for the threshold signature shares held under the FROST protocol. The Audit Service holds its own partition with a key set distinct from the operational platform, in support of the architectural commitment to independent audit verification.</w:t>
      </w:r>
    </w:p>
    <w:p>
      <w:pPr>
        <w:pStyle w:val="Heading3"/>
        <w:spacing w:after="120" w:before="240"/>
      </w:pPr>
      <w:r>
        <w:rPr>
          <w:rFonts w:ascii="Arial" w:cs="Arial" w:eastAsia="Arial" w:hAnsi="Arial"/>
          <w:b/>
          <w:bCs/>
          <w:color w:val="1A1A1A"/>
          <w:sz w:val="24"/>
          <w:szCs w:val="24"/>
        </w:rPr>
        <w:t xml:space="preserve">Hyperledger Fabric ten-organisation consortium</w:t>
      </w:r>
    </w:p>
    <w:p>
      <w:pPr>
        <w:spacing w:after="140" w:line="320"/>
        <w:jc w:val="both"/>
      </w:pPr>
      <w:r>
        <w:rPr>
          <w:rFonts w:ascii="Arial" w:cs="Arial" w:eastAsia="Arial" w:hAnsi="Arial"/>
          <w:b w:val="false"/>
          <w:bCs w:val="false"/>
          <w:i w:val="false"/>
          <w:iCs w:val="false"/>
          <w:color w:val="2C2C2A"/>
          <w:sz w:val="22"/>
          <w:szCs w:val="22"/>
        </w:rPr>
        <w:t xml:space="preserve">The permissioned ledger layer is Hyperledger Fabric 3.x deployed as a ten-organisation consortium. Each organisation operates its own ordering service peer, its own committing peer, its own membership service provider, and its own certificate authority rooted in the HSM partition described above. The ten organisations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3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Organisation</w:t>
            </w:r>
          </w:p>
        </w:tc>
        <w:tc>
          <w:tcPr>
            <w:tcW w:type="dxa" w:w="5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Institutional role and channel membership</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 — Centre de Formalités de Création des Entreprises</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intake at incorporation. Member of the declaration, verification, and audit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MINFI — Ministère des Finances</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sponsor and operational steward. Member of all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 — Direction Générale des Impôts</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Tax administration consumer. Member of the declaration, verification, audit, and consumer-integration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 Agence Nationale d’Investigation Financière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intelligence unit. Member of the verification, audit, encrypted-tier, and consumer-integration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CONAC — Commission Nationale Anti-Corruption</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Anti-corruption institution. Member of the verification, audit, encrypted-tier, and consumer-integration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TCS — Tribunal Criminel Spécial</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Judicial authority for major economic crime. Member of the audit, encrypted-tier, and case-management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 Agence de Régulation des Marchés Publics</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procurement regulator. Member of the declaration, verification, audit, and consumer-integration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 — Banque des États de l’Afrique Centrale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Central bank and banking-system regulator. Member of the verification, audit, and consumer-integration channels.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Civil society seat (rotating)</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Non-state oversight. Member of the audit and public-tier channels. Designated by a multi-organisation civil society panel.</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observer seat (rotating)</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Rotating between Open Ownership, Transparency International, and the GABAC Secretariat. Member of the audit and public-tier channels.</w:t>
            </w:r>
          </w:p>
        </w:tc>
      </w:tr>
    </w:tbl>
    <w:p>
      <w:pPr>
        <w:spacing w:after="140" w:line="320"/>
        <w:jc w:val="both"/>
      </w:pPr>
      <w:r>
        <w:rPr>
          <w:rFonts w:ascii="Arial" w:cs="Arial" w:eastAsia="Arial" w:hAnsi="Arial"/>
          <w:b w:val="false"/>
          <w:bCs w:val="false"/>
          <w:i w:val="false"/>
          <w:iCs w:val="false"/>
          <w:color w:val="2C2C2A"/>
          <w:sz w:val="22"/>
          <w:szCs w:val="22"/>
        </w:rPr>
        <w:t xml:space="preserve">Channel topology partitions data by classification. The declaration channel carries declarations and their lifecycle events; membership is broad. The verification channel carries the verification engine’s pipeline state and outcomes; membership is operational. The audit channel carries access logs and integrity attestations; membership is broad including the non-state seats, which is the structural property that permits external audit. The encrypted-tier channel carries sensitive case records; membership is restricted and access requires threshold-signed quorum. The consumer-integration channel carries the events consumed by Layer 5 integrations; membership is restricted to the relevant consumer institutions.</w:t>
      </w:r>
    </w:p>
    <w:p>
      <w:pPr>
        <w:spacing w:after="140" w:line="320"/>
        <w:jc w:val="both"/>
      </w:pPr>
      <w:r>
        <w:rPr>
          <w:rFonts w:ascii="Arial" w:cs="Arial" w:eastAsia="Arial" w:hAnsi="Arial"/>
          <w:b w:val="false"/>
          <w:bCs w:val="false"/>
          <w:i w:val="false"/>
          <w:iCs w:val="false"/>
          <w:color w:val="2C2C2A"/>
          <w:sz w:val="22"/>
          <w:szCs w:val="22"/>
        </w:rPr>
        <w:t xml:space="preserve">Endorsement policies on the channels are calibrated to the political-resilience requirement. Sensitive operations — modifications to access policy, additions to or removals from the domestic PEP register, takedowns of public-tier records — require endorsement quorum that includes both state and non-state organisations, structurally preventing capture by any single faction within the state apparatus or by the state apparatus as a whole.</w:t>
      </w:r>
    </w:p>
    <w:p>
      <w:pPr>
        <w:pStyle w:val="Heading3"/>
        <w:spacing w:after="120" w:before="240"/>
      </w:pPr>
      <w:r>
        <w:rPr>
          <w:rFonts w:ascii="Arial" w:cs="Arial" w:eastAsia="Arial" w:hAnsi="Arial"/>
          <w:b/>
          <w:bCs/>
          <w:color w:val="1A1A1A"/>
          <w:sz w:val="24"/>
          <w:szCs w:val="24"/>
        </w:rPr>
        <w:t xml:space="preserve">FROST-Ed25519 threshold signatures</w:t>
      </w:r>
    </w:p>
    <w:p>
      <w:pPr>
        <w:spacing w:after="140" w:line="320"/>
        <w:jc w:val="both"/>
      </w:pPr>
      <w:r>
        <w:rPr>
          <w:rFonts w:ascii="Arial" w:cs="Arial" w:eastAsia="Arial" w:hAnsi="Arial"/>
          <w:b w:val="false"/>
          <w:bCs w:val="false"/>
          <w:i w:val="false"/>
          <w:iCs w:val="false"/>
          <w:color w:val="2C2C2A"/>
          <w:sz w:val="22"/>
          <w:szCs w:val="22"/>
        </w:rPr>
        <w:t xml:space="preserve">The FROST protocol (Flexible Round-Optimized Schnorr Threshold) over Ed25519 provides threshold signatures for the most sensitive access decisions in the platform. The protocol is configured with ten key-holders corresponding to the ten consortium organisations and a quorum of seven of ten required for signature production. Quorum is configurable per use case: access to a record concerning an active investigation against a sitting minister might require eight of ten and explicit dissent rights on the non-state seats; routine encrypted-tier accesses might require seven of ten.</w:t>
      </w:r>
    </w:p>
    <w:p>
      <w:pPr>
        <w:spacing w:after="140" w:line="320"/>
        <w:jc w:val="both"/>
      </w:pPr>
      <w:r>
        <w:rPr>
          <w:rFonts w:ascii="Arial" w:cs="Arial" w:eastAsia="Arial" w:hAnsi="Arial"/>
          <w:b w:val="false"/>
          <w:bCs w:val="false"/>
          <w:i w:val="false"/>
          <w:iCs w:val="false"/>
          <w:color w:val="2C2C2A"/>
          <w:sz w:val="22"/>
          <w:szCs w:val="22"/>
        </w:rPr>
        <w:t xml:space="preserve">The choice of FROST over plain Shamir Secret Sharing is deliberate. FROST is non-interactive at signature production (preprocessing phase aside), produces standard Schnorr-Ed25519 signatures verifiable by any standard library, and has formal security proofs in the random oracle model with concurrent signing security. Plain Shamir requires reconstruction of the secret key at signing time, which violates the architectural commitment that signing keys never leave the HSM environment. FROST satisfies the non-leakage commitment by design.</w:t>
      </w:r>
    </w:p>
    <w:p>
      <w:pPr>
        <w:spacing w:after="140" w:line="320"/>
        <w:jc w:val="both"/>
      </w:pPr>
      <w:r>
        <w:rPr>
          <w:rFonts w:ascii="Arial" w:cs="Arial" w:eastAsia="Arial" w:hAnsi="Arial"/>
          <w:b w:val="false"/>
          <w:bCs w:val="false"/>
          <w:i w:val="false"/>
          <w:iCs w:val="false"/>
          <w:color w:val="2C2C2A"/>
          <w:sz w:val="22"/>
          <w:szCs w:val="22"/>
        </w:rPr>
        <w:t xml:space="preserve">Implementation uses the ZF FROST reference library audited by the Zcash Foundation, deployed within HSM-attested partitions with the share material held inside the HSM and the round-coordination performed by an HSM-attested service. The signature output is anchored in the audit channel of the Fabric ledger together with the participating key-holder identifiers and the policy under which the quorum approved the operation.</w:t>
      </w:r>
    </w:p>
    <w:p>
      <w:pPr>
        <w:pStyle w:val="Heading3"/>
        <w:spacing w:after="120" w:before="240"/>
      </w:pPr>
      <w:r>
        <w:rPr>
          <w:rFonts w:ascii="Arial" w:cs="Arial" w:eastAsia="Arial" w:hAnsi="Arial"/>
          <w:b/>
          <w:bCs/>
          <w:color w:val="1A1A1A"/>
          <w:sz w:val="24"/>
          <w:szCs w:val="24"/>
        </w:rPr>
        <w:t xml:space="preserve">Halo2 zero-knowledge proofs</w:t>
      </w:r>
    </w:p>
    <w:p>
      <w:pPr>
        <w:spacing w:after="140" w:line="320"/>
        <w:jc w:val="both"/>
      </w:pPr>
      <w:r>
        <w:rPr>
          <w:rFonts w:ascii="Arial" w:cs="Arial" w:eastAsia="Arial" w:hAnsi="Arial"/>
          <w:b w:val="false"/>
          <w:bCs w:val="false"/>
          <w:i w:val="false"/>
          <w:iCs w:val="false"/>
          <w:color w:val="2C2C2A"/>
          <w:sz w:val="22"/>
          <w:szCs w:val="22"/>
        </w:rPr>
        <w:t xml:space="preserve">Zero-knowledge proofs in RÉCOR serve the use case of selective disclosure: enabling specific consumers (foreign banks performing correspondent due diligence, international counterparts requesting MLAT-style cooperation, civil society auditors verifying a property of the registry without seeing the underlying records) to verify that a queried entity satisfies a property without RÉCOR revealing the underlying record. Properties of interest include: “this entity’s declared beneficial owner is not present on any current sanctions list”; “this entity’s declared beneficial owners do not include any current Cameroonian PEP”; “this property of the registry holds across all records of a given class without revealing the records.”</w:t>
      </w:r>
    </w:p>
    <w:p>
      <w:pPr>
        <w:spacing w:after="140" w:line="320"/>
        <w:jc w:val="both"/>
      </w:pPr>
      <w:r>
        <w:rPr>
          <w:rFonts w:ascii="Arial" w:cs="Arial" w:eastAsia="Arial" w:hAnsi="Arial"/>
          <w:b w:val="false"/>
          <w:bCs w:val="false"/>
          <w:i w:val="false"/>
          <w:iCs w:val="false"/>
          <w:color w:val="2C2C2A"/>
          <w:sz w:val="22"/>
          <w:szCs w:val="22"/>
        </w:rPr>
        <w:t xml:space="preserve">The choice of the Halo2 proof system is deliberate. Halo2 is a PLONK-style proof system that does not require a trusted setup ceremony. The trusted setup of earlier systems such as Groth16 introduces a political vulnerability: who attended the ceremony, what assurance the ceremony was conducted with toxic-waste discipline, and what residual risk persists from a compromised ceremony are all questions that funders and assessors will raise during pitch and that have unsatisfying answers. Halo2 eliminates the ceremony and the question. Proof generation is slower than Groth16 and proofs are larger; both are acceptable trade-offs for the political-resilience benefit.</w:t>
      </w:r>
    </w:p>
    <w:p>
      <w:pPr>
        <w:spacing w:after="140" w:line="320"/>
        <w:jc w:val="both"/>
      </w:pPr>
      <w:r>
        <w:rPr>
          <w:rFonts w:ascii="Arial" w:cs="Arial" w:eastAsia="Arial" w:hAnsi="Arial"/>
          <w:b w:val="false"/>
          <w:bCs w:val="false"/>
          <w:i w:val="false"/>
          <w:iCs w:val="false"/>
          <w:color w:val="2C2C2A"/>
          <w:sz w:val="22"/>
          <w:szCs w:val="22"/>
        </w:rPr>
        <w:t xml:space="preserve">Implementation uses the Halo2 reference library maintained by the Electric Coin Company and the broader Zcash ecosystem, with Cameroon-specific circuits for the registry’s use cases. Circuits are open-sourced under permissive licence and undergo independent security review before production deployment.</w:t>
      </w:r>
    </w:p>
    <w:p>
      <w:pPr>
        <w:pStyle w:val="Heading3"/>
        <w:spacing w:after="120" w:before="240"/>
      </w:pPr>
      <w:r>
        <w:rPr>
          <w:rFonts w:ascii="Arial" w:cs="Arial" w:eastAsia="Arial" w:hAnsi="Arial"/>
          <w:b/>
          <w:bCs/>
          <w:color w:val="1A1A1A"/>
          <w:sz w:val="24"/>
          <w:szCs w:val="24"/>
        </w:rPr>
        <w:t xml:space="preserve">OpenTimestamps anchoring</w:t>
      </w:r>
    </w:p>
    <w:p>
      <w:pPr>
        <w:spacing w:after="140" w:line="320"/>
        <w:jc w:val="both"/>
      </w:pPr>
      <w:r>
        <w:rPr>
          <w:rFonts w:ascii="Arial" w:cs="Arial" w:eastAsia="Arial" w:hAnsi="Arial"/>
          <w:b w:val="false"/>
          <w:bCs w:val="false"/>
          <w:i w:val="false"/>
          <w:iCs w:val="false"/>
          <w:color w:val="2C2C2A"/>
          <w:sz w:val="22"/>
          <w:szCs w:val="22"/>
        </w:rPr>
        <w:t xml:space="preserve">Sovereignty-independent anchoring is provided by OpenTimestamps, which timestamps the Merkle root of every Fabric block batch onto the Bitcoin blockchain at low cost (sub-cent per batch in marginal Bitcoin transaction fees). The architectural commitment OpenTimestamps satisfies is that the historical record of the registry is verifiable against a substrate that neither the Cameroonian government, nor any consortium member, nor any international funder, nor any single actor in the world controls. If at any future point the integrity of the Fabric ledger is questioned — whether through accusations of state tampering, accusations of consortium capture, or any other dispute — the OpenTimestamps anchors permit independent reconstruction of what the registry contained at every historical point in time, against a substrate that cannot be retroactively altered.</w:t>
      </w:r>
    </w:p>
    <w:p>
      <w:pPr>
        <w:spacing w:after="140" w:line="320"/>
        <w:jc w:val="both"/>
      </w:pPr>
      <w:r>
        <w:rPr>
          <w:rFonts w:ascii="Arial" w:cs="Arial" w:eastAsia="Arial" w:hAnsi="Arial"/>
          <w:b w:val="false"/>
          <w:bCs w:val="false"/>
          <w:i w:val="false"/>
          <w:iCs w:val="false"/>
          <w:color w:val="2C2C2A"/>
          <w:sz w:val="22"/>
          <w:szCs w:val="22"/>
        </w:rPr>
        <w:t xml:space="preserve">Anchoring frequency is one batch per hour during normal operation, with batches containing the Merkle roots of all Fabric blocks committed in that hour. Anchoring cost in steady state is in the order of tens of US dollars per month. The OpenTimestamps infrastructure is operated by a public network with no privileged operator; if any one operator fails, others continue to anchor. The verification of anchors is performable by any party with an internet connection and the OpenTimestamps client.</w:t>
      </w:r>
    </w:p>
    <w:p>
      <w:pPr>
        <w:pStyle w:val="Heading2"/>
        <w:spacing w:after="160" w:before="320"/>
      </w:pPr>
      <w:r>
        <w:rPr>
          <w:rFonts w:ascii="Arial" w:cs="Arial" w:eastAsia="Arial" w:hAnsi="Arial"/>
          <w:b/>
          <w:bCs/>
          <w:color w:val="1A1A1A"/>
          <w:sz w:val="28"/>
          <w:szCs w:val="28"/>
        </w:rPr>
        <w:t xml:space="preserve">Technology choices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Decision</w:t>
            </w:r>
          </w:p>
        </w:tc>
        <w:tc>
          <w:tcPr>
            <w:tcW w:type="dxa" w:w="2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Choice</w:t>
            </w:r>
          </w:p>
        </w:tc>
        <w:tc>
          <w:tcPr>
            <w:tcW w:type="dxa" w:w="4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Rationale and alternatives considered</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Permissioned ledger</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Hyperledger Fabric 3.x</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Multi-organisational governance with known parties favours Fabric over Besu (which is better suited to public Ethereum-compatible chains). Fabric provides endorsement policies, MSPs, and channel-level data partitioning out of the box. Alternatives considered: Corda (rejected for higher operational complexity), Besu (rejected for inappropriate trust model), bespoke ledger (rejected for security risk and lack of ecosystem).</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security module</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Thales Luna Network HSM 7</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Common Criteria EAL4+ and FIPS 140-2 Level 3 certified. Mature partition architecture supporting multi-tenant institutional deployment. Alternatives considered: Utimaco SecurityServer (acceptable, similar profile), nCipher nShield (acceptable, similar profile), AWS CloudHSM (rejected for sovereignty), software KMS (rejected for security).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Threshold signature scheme</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FROST-Ed25519</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Non-interactive at signing, standard Ed25519 output, formal security proofs. Alternative considered: plain Shamir Secret Sharing (rejected for requiring key reconstruction, violating the no-leakage commitment), threshold BLS (rejected for trusted setup requirement on certain variants).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Zero-knowledge proof system</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Halo2</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 trusted setup, eliminating political vulnerability. PLONK-style universal circuits. Alternative considered: Groth16 (rejected for trusted setup), Marlin (acceptable, less mature ecosystem), STARKs (acceptable, larger proofs).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External anchoring</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OpenTimestamps on Bitcoin</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Sovereignty-independent: anchored to a chain no party controls. Marginal cost negligible. Alternative considered: anchoring to Ethereum mainnet (acceptable, more expensive), anchoring to a regional public chain (rejected for not being sovereignty-independent in the same sense).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curve</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Ed25519</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Modern, fast, well-supported in cryptographic libraries, native HSM support. Alternative considered: secp256k1 (acceptable but more commonly associated with cryptocurrency), P-256 (acceptable, less performant for the FROST use case).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Key management protocol</w:t>
            </w:r>
          </w:p>
        </w:tc>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Envelope encryption with HSM-resident master keys, AES-256-GCM data encryption keys</w:t>
            </w:r>
          </w:p>
        </w:tc>
        <w:tc>
          <w:tcPr>
            <w:tcW w:type="dxa" w:w="4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Industry-standard pattern. Permits efficient bulk data encryption at higher layers while keeping master keys in the HSM. Quarterly rotation of data encryption keys under documented ceremony.</w:t>
            </w:r>
          </w:p>
        </w:tc>
      </w:tr>
    </w:tbl>
    <w:p>
      <w:pPr>
        <w:pStyle w:val="Heading2"/>
        <w:spacing w:after="160" w:before="320"/>
      </w:pPr>
      <w:r>
        <w:rPr>
          <w:rFonts w:ascii="Arial" w:cs="Arial" w:eastAsia="Arial" w:hAnsi="Arial"/>
          <w:b/>
          <w:bCs/>
          <w:color w:val="1A1A1A"/>
          <w:sz w:val="28"/>
          <w:szCs w:val="28"/>
        </w:rPr>
        <w:t xml:space="preserve">Interface contracts to higher layers</w:t>
      </w:r>
    </w:p>
    <w:p>
      <w:pPr>
        <w:spacing w:after="140" w:line="320"/>
        <w:jc w:val="both"/>
      </w:pPr>
      <w:r>
        <w:rPr>
          <w:rFonts w:ascii="Arial" w:cs="Arial" w:eastAsia="Arial" w:hAnsi="Arial"/>
          <w:b w:val="false"/>
          <w:bCs w:val="false"/>
          <w:i w:val="false"/>
          <w:iCs w:val="false"/>
          <w:color w:val="2C2C2A"/>
          <w:sz w:val="22"/>
          <w:szCs w:val="22"/>
        </w:rPr>
        <w:t xml:space="preserve">Layer 0 exposes a constrained set of cryptographic primitives to higher layers, accessible via authenticated APIs from the HSM-fronting service. The contract is deliberately narrow.</w:t>
      </w:r>
    </w:p>
    <w:p>
      <w:pPr>
        <w:pStyle w:val="ListParagraph"/>
        <w:numPr>
          <w:ilvl w:val="0"/>
          <w:numId w:val="2"/>
        </w:numPr>
        <w:spacing w:after="80" w:line="300"/>
      </w:pPr>
      <w:r>
        <w:rPr>
          <w:rFonts w:ascii="Arial" w:cs="Arial" w:eastAsia="Arial" w:hAnsi="Arial"/>
          <w:color w:val="2C2C2A"/>
          <w:sz w:val="22"/>
          <w:szCs w:val="22"/>
        </w:rPr>
        <w:t xml:space="preserve">Signing primitive: a service that, given a signing identity, a payload, and a policy assertion, produces a signature using the HSM-resident key for that identity. Higher layers cannot extract or inspect the key material. Signing operations are logged.</w:t>
      </w:r>
    </w:p>
    <w:p>
      <w:pPr>
        <w:pStyle w:val="ListParagraph"/>
        <w:numPr>
          <w:ilvl w:val="0"/>
          <w:numId w:val="2"/>
        </w:numPr>
        <w:spacing w:after="80" w:line="300"/>
      </w:pPr>
      <w:r>
        <w:rPr>
          <w:rFonts w:ascii="Arial" w:cs="Arial" w:eastAsia="Arial" w:hAnsi="Arial"/>
          <w:color w:val="2C2C2A"/>
          <w:sz w:val="22"/>
          <w:szCs w:val="22"/>
        </w:rPr>
        <w:t xml:space="preserve">Verification primitive: a service that, given a signature, a payload, and a claimed signing identity, returns whether the signature is valid. Verification operations are not access-controlled and are not logged at this layer (the higher layer that initiates verification is responsible for its own logging).</w:t>
      </w:r>
    </w:p>
    <w:p>
      <w:pPr>
        <w:pStyle w:val="ListParagraph"/>
        <w:numPr>
          <w:ilvl w:val="0"/>
          <w:numId w:val="2"/>
        </w:numPr>
        <w:spacing w:after="80" w:line="300"/>
      </w:pPr>
      <w:r>
        <w:rPr>
          <w:rFonts w:ascii="Arial" w:cs="Arial" w:eastAsia="Arial" w:hAnsi="Arial"/>
          <w:color w:val="2C2C2A"/>
          <w:sz w:val="22"/>
          <w:szCs w:val="22"/>
        </w:rPr>
        <w:t xml:space="preserve">Threshold signing coordination: a service that, given a threshold-signing request with a policy that names the required quorum and the participating key-holders, coordinates the FROST protocol rounds and produces the final signature. Operations are logged with the participating key-holders and the policy under which the quorum approved.</w:t>
      </w:r>
    </w:p>
    <w:p>
      <w:pPr>
        <w:pStyle w:val="ListParagraph"/>
        <w:numPr>
          <w:ilvl w:val="0"/>
          <w:numId w:val="2"/>
        </w:numPr>
        <w:spacing w:after="80" w:line="300"/>
      </w:pPr>
      <w:r>
        <w:rPr>
          <w:rFonts w:ascii="Arial" w:cs="Arial" w:eastAsia="Arial" w:hAnsi="Arial"/>
          <w:color w:val="2C2C2A"/>
          <w:sz w:val="22"/>
          <w:szCs w:val="22"/>
        </w:rPr>
        <w:t xml:space="preserve">Envelope encryption primitive: a service that, given a plaintext and a key namespace, encrypts the plaintext under a data encryption key wrapped by the HSM-resident master key for that namespace, and returns the ciphertext together with the wrapped data encryption key. Decryption is the inverse.</w:t>
      </w:r>
    </w:p>
    <w:p>
      <w:pPr>
        <w:pStyle w:val="ListParagraph"/>
        <w:numPr>
          <w:ilvl w:val="0"/>
          <w:numId w:val="2"/>
        </w:numPr>
        <w:spacing w:after="80" w:line="300"/>
      </w:pPr>
      <w:r>
        <w:rPr>
          <w:rFonts w:ascii="Arial" w:cs="Arial" w:eastAsia="Arial" w:hAnsi="Arial"/>
          <w:color w:val="2C2C2A"/>
          <w:sz w:val="22"/>
          <w:szCs w:val="22"/>
        </w:rPr>
        <w:t xml:space="preserve">Zero-knowledge proof primitives: prover and verifier services for the registry-specific circuits. The prover requires access to the witness data; the verifier requires only the public inputs and the proof.</w:t>
      </w:r>
    </w:p>
    <w:p>
      <w:pPr>
        <w:pStyle w:val="ListParagraph"/>
        <w:numPr>
          <w:ilvl w:val="0"/>
          <w:numId w:val="2"/>
        </w:numPr>
        <w:spacing w:after="80" w:line="300"/>
      </w:pPr>
      <w:r>
        <w:rPr>
          <w:rFonts w:ascii="Arial" w:cs="Arial" w:eastAsia="Arial" w:hAnsi="Arial"/>
          <w:color w:val="2C2C2A"/>
          <w:sz w:val="22"/>
          <w:szCs w:val="22"/>
        </w:rPr>
        <w:t xml:space="preserve">Ledger submission primitive: a service that, given a payload and an endorsement policy, submits the payload to the appropriate Fabric channel, collects endorsements per policy, and commits the resulting transaction. Returns the commit receipt with the OpenTimestamps anchor coordinates for the containing block.</w:t>
      </w:r>
    </w:p>
    <w:p>
      <w:pPr>
        <w:pStyle w:val="Heading2"/>
        <w:spacing w:after="160" w:before="320"/>
      </w:pPr>
      <w:r>
        <w:rPr>
          <w:rFonts w:ascii="Arial" w:cs="Arial" w:eastAsia="Arial" w:hAnsi="Arial"/>
          <w:b/>
          <w:bCs/>
          <w:color w:val="1A1A1A"/>
          <w:sz w:val="28"/>
          <w:szCs w:val="28"/>
        </w:rPr>
        <w:t xml:space="preserve">Operational considerations</w:t>
      </w:r>
    </w:p>
    <w:p>
      <w:pPr>
        <w:spacing w:after="140" w:line="320"/>
        <w:jc w:val="both"/>
      </w:pPr>
      <w:r>
        <w:rPr>
          <w:rFonts w:ascii="Arial" w:cs="Arial" w:eastAsia="Arial" w:hAnsi="Arial"/>
          <w:b w:val="false"/>
          <w:bCs w:val="false"/>
          <w:i w:val="false"/>
          <w:iCs w:val="false"/>
          <w:color w:val="2C2C2A"/>
          <w:sz w:val="22"/>
          <w:szCs w:val="22"/>
        </w:rPr>
        <w:t xml:space="preserve">Layer 0 is engineered for high availability with active-active operation across the two operational sites. HSMs are deployed in high-availability clusters with automatic failover; planned maintenance is performed with no service interruption. Fabric peers are deployed across the two sites with cross-site endorsement, accepting the latency cost in exchange for the resilience benefit. The ceremonial site is brought online only during scheduled key ceremonies and otherwise air-gapped.</w:t>
      </w:r>
    </w:p>
    <w:p>
      <w:pPr>
        <w:spacing w:after="140" w:line="320"/>
        <w:jc w:val="both"/>
      </w:pPr>
      <w:r>
        <w:rPr>
          <w:rFonts w:ascii="Arial" w:cs="Arial" w:eastAsia="Arial" w:hAnsi="Arial"/>
          <w:b w:val="false"/>
          <w:bCs w:val="false"/>
          <w:i w:val="false"/>
          <w:iCs w:val="false"/>
          <w:color w:val="2C2C2A"/>
          <w:sz w:val="22"/>
          <w:szCs w:val="22"/>
        </w:rPr>
        <w:t xml:space="preserve">Failure modes are documented and rehearsed. The loss of a single HSM at one site is handled by failover to the standby HSM at that site, with no service interruption. The loss of all HSMs at one site is handled by failover to the other site, with the impact constrained to slightly elevated latency for operations whose home site was the lost one. The loss of both operational sites is a disaster recovery event requiring restoration from the ceremonial site backup, with a target recovery time of four hours and a target recovery point of fifteen minutes. The full disaster recovery procedure is rehearsed annually as a game-day exercise involving all key-holder representatives.</w:t>
      </w:r>
    </w:p>
    <w:p>
      <w:pPr>
        <w:pStyle w:val="Heading1"/>
        <w:pageBreakBefore/>
        <w:spacing w:after="240" w:before="480"/>
      </w:pPr>
      <w:r>
        <w:rPr>
          <w:rFonts w:ascii="Arial" w:cs="Arial" w:eastAsia="Arial" w:hAnsi="Arial"/>
          <w:b/>
          <w:bCs/>
          <w:color w:val="1A1A1A"/>
          <w:sz w:val="36"/>
          <w:szCs w:val="36"/>
        </w:rPr>
        <w:t xml:space="preserve">Layer 1 — Storage Substrate</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1 is the storage substrate of the platform. Its architectural commitment is that data is persisted in the technology best suited to the access pattern, rather than in a single store optimised for a hypothetical average. The platform’s access patterns are heterogeneous: small relational record updates dominate writes; deep graph traversals dominate investigative reads; fuzzy text matching dominates entity-resolution reads; immutable append-only event records dominate audit reads; large opaque binary objects dominate evidence storage. Forcing all of these through a single storage technology produces predictable failures. The substrate therefore comprises five complementary stores, each chosen for what it is genuinely good at.</w:t>
      </w:r>
    </w:p>
    <w:p>
      <w:pPr>
        <w:pStyle w:val="Heading2"/>
        <w:spacing w:after="160" w:before="320"/>
      </w:pPr>
      <w:r>
        <w:rPr>
          <w:rFonts w:ascii="Arial" w:cs="Arial" w:eastAsia="Arial" w:hAnsi="Arial"/>
          <w:b/>
          <w:bCs/>
          <w:color w:val="1A1A1A"/>
          <w:sz w:val="28"/>
          <w:szCs w:val="28"/>
        </w:rPr>
        <w:t xml:space="preserve">PostgreSQL 16 — system of record</w:t>
      </w:r>
    </w:p>
    <w:p>
      <w:pPr>
        <w:spacing w:after="140" w:line="320"/>
        <w:jc w:val="both"/>
      </w:pPr>
      <w:r>
        <w:rPr>
          <w:rFonts w:ascii="Arial" w:cs="Arial" w:eastAsia="Arial" w:hAnsi="Arial"/>
          <w:b w:val="false"/>
          <w:bCs w:val="false"/>
          <w:i w:val="false"/>
          <w:iCs w:val="false"/>
          <w:color w:val="2C2C2A"/>
          <w:sz w:val="22"/>
          <w:szCs w:val="22"/>
        </w:rPr>
        <w:t xml:space="preserve">PostgreSQL 16 is the canonical system of record for entities, persons, declarations, ownership interests, verification events, risk flags, investigations, and access logs. Deployment is a primary instance in the Yaoundé data centre with synchronous physical replication to a standby in the Douala data centre, and asynchronous logical replication to read replicas dedicated to analytic workloads. Connection pooling is via PgBouncer in transaction-pooling mode. Backups are continuous via WAL archiving to the air-gapped backup site, with point-in-time recovery rehearsed monthly.</w:t>
      </w:r>
    </w:p>
    <w:p>
      <w:pPr>
        <w:spacing w:after="140" w:line="320"/>
        <w:jc w:val="both"/>
      </w:pPr>
      <w:r>
        <w:rPr>
          <w:rFonts w:ascii="Arial" w:cs="Arial" w:eastAsia="Arial" w:hAnsi="Arial"/>
          <w:b w:val="false"/>
          <w:bCs w:val="false"/>
          <w:i w:val="false"/>
          <w:iCs w:val="false"/>
          <w:color w:val="2C2C2A"/>
          <w:sz w:val="22"/>
          <w:szCs w:val="22"/>
        </w:rPr>
        <w:t xml:space="preserve">Schema design follows third-normal-form principles for the canonical entities, with deliberate denormalisation only where access patterns demonstrably require it (notably, materialised views for the procurement-relevant public tier and for the BODS export feed). Temporal semantics are encoded using validity intervals on ownership relationships, modelled as half-open ranges with explicit end-of-time sentinels. Soft deletion is forbidden; all state transitions are events captured in the event log, with the current-state tables being projections.</w:t>
      </w:r>
    </w:p>
    <w:p>
      <w:pPr>
        <w:spacing w:after="140" w:line="320"/>
        <w:jc w:val="both"/>
      </w:pPr>
      <w:r>
        <w:rPr>
          <w:rFonts w:ascii="Arial" w:cs="Arial" w:eastAsia="Arial" w:hAnsi="Arial"/>
          <w:b w:val="false"/>
          <w:bCs w:val="false"/>
          <w:i w:val="false"/>
          <w:iCs w:val="false"/>
          <w:color w:val="2C2C2A"/>
          <w:sz w:val="22"/>
          <w:szCs w:val="22"/>
        </w:rPr>
        <w:t xml:space="preserve">Database extensions used: pgcrypto for column-level encryption of sensitive identifier fields, pg_partman for time-based partitioning of high-volume tables (access logs, verification events), and pg_stat_statements for production query observability. PostGIS is not used; geographic data is delegated to OpenSearch where it interacts with fuzzy search and to specialised analytic exports.</w:t>
      </w:r>
    </w:p>
    <w:p>
      <w:pPr>
        <w:spacing w:after="140" w:line="320"/>
        <w:jc w:val="both"/>
      </w:pPr>
      <w:r>
        <w:rPr>
          <w:rFonts w:ascii="Arial" w:cs="Arial" w:eastAsia="Arial" w:hAnsi="Arial"/>
          <w:b w:val="false"/>
          <w:bCs w:val="false"/>
          <w:i w:val="false"/>
          <w:iCs w:val="false"/>
          <w:color w:val="2C2C2A"/>
          <w:sz w:val="22"/>
          <w:szCs w:val="22"/>
        </w:rPr>
        <w:t xml:space="preserve">Sizing is deliberately conservative. Cameroon’s legal-entity universe is in the order of three hundred thousand to five hundred thousand active records, with full historical record set including dissolved entities, declarations, verification events, and access logs reaching the order of fifty to one hundred million rows over the platform’s first five operational years. This sits comfortably on a single primary instance with read replicas; horizontal sharding is not required and is rejected as unnecessary complexity for the operating envelope.</w:t>
      </w:r>
    </w:p>
    <w:p>
      <w:pPr>
        <w:pStyle w:val="Heading2"/>
        <w:spacing w:after="160" w:before="320"/>
      </w:pPr>
      <w:r>
        <w:rPr>
          <w:rFonts w:ascii="Arial" w:cs="Arial" w:eastAsia="Arial" w:hAnsi="Arial"/>
          <w:b/>
          <w:bCs/>
          <w:color w:val="1A1A1A"/>
          <w:sz w:val="28"/>
          <w:szCs w:val="28"/>
        </w:rPr>
        <w:t xml:space="preserve">Neo4j Enterprise Edition — ownership graph</w:t>
      </w:r>
    </w:p>
    <w:p>
      <w:pPr>
        <w:spacing w:after="140" w:line="320"/>
        <w:jc w:val="both"/>
      </w:pPr>
      <w:r>
        <w:rPr>
          <w:rFonts w:ascii="Arial" w:cs="Arial" w:eastAsia="Arial" w:hAnsi="Arial"/>
          <w:b w:val="false"/>
          <w:bCs w:val="false"/>
          <w:i w:val="false"/>
          <w:iCs w:val="false"/>
          <w:color w:val="2C2C2A"/>
          <w:sz w:val="22"/>
          <w:szCs w:val="22"/>
        </w:rPr>
        <w:t xml:space="preserve">Neo4j Enterprise Edition deployed in a causal cluster of three core members and three read replicas serves the ownership graph. The graph encodes natural persons and legal entities as nodes, ownership and control relationships as time-bounded edges, and the provenance of each edge as a property linking back to the declaration that established it.</w:t>
      </w:r>
    </w:p>
    <w:p>
      <w:pPr>
        <w:spacing w:after="140" w:line="320"/>
        <w:jc w:val="both"/>
      </w:pPr>
      <w:r>
        <w:rPr>
          <w:rFonts w:ascii="Arial" w:cs="Arial" w:eastAsia="Arial" w:hAnsi="Arial"/>
          <w:b w:val="false"/>
          <w:bCs w:val="false"/>
          <w:i w:val="false"/>
          <w:iCs w:val="false"/>
          <w:color w:val="2C2C2A"/>
          <w:sz w:val="22"/>
          <w:szCs w:val="22"/>
        </w:rPr>
        <w:t xml:space="preserve">The choice of a graph database is forced by the access patterns. Transitive ownership traversal up to ten hops in a moderately connected graph is a structurally bad fit for relational queries: the recursive CTE solution times out at three to four hops in practice on commercial relational engines, while the equivalent Cypher query on Neo4j completes in single-digit milliseconds. Community detection (Louvain or Leiden algorithms) over the full ownership graph, which is what surfaces hidden clusters connected through indirect proxy chains, is operationally infeasible in relational SQL but is a built-in operation in Neo4j’s Graph Data Science library. Cycle detection — identifying circular ownership structures that are themselves a fraud signature — is similarly a built-in graph operation.</w:t>
      </w:r>
    </w:p>
    <w:p>
      <w:pPr>
        <w:spacing w:after="140" w:line="320"/>
        <w:jc w:val="both"/>
      </w:pPr>
      <w:r>
        <w:rPr>
          <w:rFonts w:ascii="Arial" w:cs="Arial" w:eastAsia="Arial" w:hAnsi="Arial"/>
          <w:b w:val="false"/>
          <w:bCs w:val="false"/>
          <w:i w:val="false"/>
          <w:iCs w:val="false"/>
          <w:color w:val="2C2C2A"/>
          <w:sz w:val="22"/>
          <w:szCs w:val="22"/>
        </w:rPr>
        <w:t xml:space="preserve">Synchronisation between PostgreSQL and Neo4j is event-driven: every commit in PostgreSQL that materially affects the ownership graph emits an event to Kafka, and a dedicated indexer service projects those events into Neo4j. The indexer is idempotent and supports full rebuild from the Kafka event log, which is the operational property that permits Neo4j to be treated as a derived projection rather than an additional system of record.</w:t>
      </w:r>
    </w:p>
    <w:p>
      <w:pPr>
        <w:spacing w:after="140" w:line="320"/>
        <w:jc w:val="both"/>
      </w:pPr>
      <w:r>
        <w:rPr>
          <w:rFonts w:ascii="Arial" w:cs="Arial" w:eastAsia="Arial" w:hAnsi="Arial"/>
          <w:b w:val="false"/>
          <w:bCs w:val="false"/>
          <w:i w:val="false"/>
          <w:iCs w:val="false"/>
          <w:color w:val="2C2C2A"/>
          <w:sz w:val="22"/>
          <w:szCs w:val="22"/>
        </w:rPr>
        <w:t xml:space="preserve">Alternatives considered: JanusGraph (acceptable open-source alternative, less mature operational tooling, rejected for higher operational risk); ArangoDB (acceptable, less specialised for graph workloads); native PostgreSQL with ltree and recursive CTEs (rejected on the access-pattern grounds described above).</w:t>
      </w:r>
    </w:p>
    <w:p>
      <w:pPr>
        <w:pStyle w:val="Heading2"/>
        <w:spacing w:after="160" w:before="320"/>
      </w:pPr>
      <w:r>
        <w:rPr>
          <w:rFonts w:ascii="Arial" w:cs="Arial" w:eastAsia="Arial" w:hAnsi="Arial"/>
          <w:b/>
          <w:bCs/>
          <w:color w:val="1A1A1A"/>
          <w:sz w:val="28"/>
          <w:szCs w:val="28"/>
        </w:rPr>
        <w:t xml:space="preserve">OpenSearch — fuzzy entity resolution</w:t>
      </w:r>
    </w:p>
    <w:p>
      <w:pPr>
        <w:spacing w:after="140" w:line="320"/>
        <w:jc w:val="both"/>
      </w:pPr>
      <w:r>
        <w:rPr>
          <w:rFonts w:ascii="Arial" w:cs="Arial" w:eastAsia="Arial" w:hAnsi="Arial"/>
          <w:b w:val="false"/>
          <w:bCs w:val="false"/>
          <w:i w:val="false"/>
          <w:iCs w:val="false"/>
          <w:color w:val="2C2C2A"/>
          <w:sz w:val="22"/>
          <w:szCs w:val="22"/>
        </w:rPr>
        <w:t xml:space="preserve">OpenSearch (the Elastic-fork maintained by AWS and the broader open-source community) serves the fuzzy entity resolution use case. Deployment is a six-node cluster across the two sites with one-replica configuration. Indices are organised by entity class (legal entities, natural persons, declarations) and by time partition for high-cardinality logs.</w:t>
      </w:r>
    </w:p>
    <w:p>
      <w:pPr>
        <w:spacing w:after="140" w:line="320"/>
        <w:jc w:val="both"/>
      </w:pPr>
      <w:r>
        <w:rPr>
          <w:rFonts w:ascii="Arial" w:cs="Arial" w:eastAsia="Arial" w:hAnsi="Arial"/>
          <w:b w:val="false"/>
          <w:bCs w:val="false"/>
          <w:i w:val="false"/>
          <w:iCs w:val="false"/>
          <w:color w:val="2C2C2A"/>
          <w:sz w:val="22"/>
          <w:szCs w:val="22"/>
        </w:rPr>
        <w:t xml:space="preserve">Fuzzy matching is critical because the dominant identity-matching failure mode in Cameroonian records is transliteration variance. The same person’s name appears as “Mbarga” in BUNEC, “Mbargha” in DGI tax records, “M’Barga” in ARMP bidder filings, and “Mbargha” in a passport from a francophone neighbouring country. A relational equality match resolves none of these to the same person; a fuzzy edit-distance match with appropriate locale-aware normalisation resolves all four. The platform’s identity-resolution service relies fundamentally on this capability.</w:t>
      </w:r>
    </w:p>
    <w:p>
      <w:pPr>
        <w:spacing w:after="140" w:line="320"/>
        <w:jc w:val="both"/>
      </w:pPr>
      <w:r>
        <w:rPr>
          <w:rFonts w:ascii="Arial" w:cs="Arial" w:eastAsia="Arial" w:hAnsi="Arial"/>
          <w:b w:val="false"/>
          <w:bCs w:val="false"/>
          <w:i w:val="false"/>
          <w:iCs w:val="false"/>
          <w:color w:val="2C2C2A"/>
          <w:sz w:val="22"/>
          <w:szCs w:val="22"/>
        </w:rPr>
        <w:t xml:space="preserve">Custom analyser chains are configured for Cameroonian-context transliteration: French phonetic normalisation, ASCII folding, double-metaphone for Bantu and Sahelian name patterns, locale-aware date-of-birth uncertainty handling (BUNEC records are known to contain date-of-birth uncertainty for older cohorts, modelled as date ranges rather than precise dates), and stop-word handling for common French and English administrative noise tokens. Index settings are tuned for high-precision near-recall match-quality rather than for general-purpose full-text search.</w:t>
      </w:r>
    </w:p>
    <w:p>
      <w:pPr>
        <w:spacing w:after="140" w:line="320"/>
        <w:jc w:val="both"/>
      </w:pPr>
      <w:r>
        <w:rPr>
          <w:rFonts w:ascii="Arial" w:cs="Arial" w:eastAsia="Arial" w:hAnsi="Arial"/>
          <w:b w:val="false"/>
          <w:bCs w:val="false"/>
          <w:i w:val="false"/>
          <w:iCs w:val="false"/>
          <w:color w:val="2C2C2A"/>
          <w:sz w:val="22"/>
          <w:szCs w:val="22"/>
        </w:rPr>
        <w:t xml:space="preserve">Alternatives considered: Elasticsearch (acceptable, licensing concerns from the Elastic licence change of 2021 motivate preference for OpenSearch); Apache Solr (acceptable, less convenient cluster operations); Typesense (rejected for scale at the projected index size); pure PostgreSQL trigram and full-text search (rejected for analyser-chain capability).</w:t>
      </w:r>
    </w:p>
    <w:p>
      <w:pPr>
        <w:pStyle w:val="Heading2"/>
        <w:spacing w:after="160" w:before="320"/>
      </w:pPr>
      <w:r>
        <w:rPr>
          <w:rFonts w:ascii="Arial" w:cs="Arial" w:eastAsia="Arial" w:hAnsi="Arial"/>
          <w:b/>
          <w:bCs/>
          <w:color w:val="1A1A1A"/>
          <w:sz w:val="28"/>
          <w:szCs w:val="28"/>
        </w:rPr>
        <w:t xml:space="preserve">Apache Kafka — event log with infinite retention</w:t>
      </w:r>
    </w:p>
    <w:p>
      <w:pPr>
        <w:spacing w:after="140" w:line="320"/>
        <w:jc w:val="both"/>
      </w:pPr>
      <w:r>
        <w:rPr>
          <w:rFonts w:ascii="Arial" w:cs="Arial" w:eastAsia="Arial" w:hAnsi="Arial"/>
          <w:b w:val="false"/>
          <w:bCs w:val="false"/>
          <w:i w:val="false"/>
          <w:iCs w:val="false"/>
          <w:color w:val="2C2C2A"/>
          <w:sz w:val="22"/>
          <w:szCs w:val="22"/>
        </w:rPr>
        <w:t xml:space="preserve">Apache Kafka serves as the immutable event log. Every state change in the platform — every declaration submission, every verification stage outcome, every access lookup, every policy decision, every workflow transition — is published as a Kafka event with a topic, a key, and a payload conforming to a versioned schema. Retention is configured as infinite (retention.ms set to long-max), with compaction disabled on the audit topics and enabled on derived-projection topics.</w:t>
      </w:r>
    </w:p>
    <w:p>
      <w:pPr>
        <w:spacing w:after="140" w:line="320"/>
        <w:jc w:val="both"/>
      </w:pPr>
      <w:r>
        <w:rPr>
          <w:rFonts w:ascii="Arial" w:cs="Arial" w:eastAsia="Arial" w:hAnsi="Arial"/>
          <w:b w:val="false"/>
          <w:bCs w:val="false"/>
          <w:i w:val="false"/>
          <w:iCs w:val="false"/>
          <w:color w:val="2C2C2A"/>
          <w:sz w:val="22"/>
          <w:szCs w:val="22"/>
        </w:rPr>
        <w:t xml:space="preserve">The architectural role Kafka plays is more than a message bus. The infinite-retention event log is the platform’s ground truth for audit, recovery, and projection rebuild. PostgreSQL, Neo4j, and OpenSearch are all in principle derivable from the Kafka event log: in a disaster recovery scenario, the operational stores can be rebuilt from scratch by replaying Kafka. This property is the structural reason that the platform can be operated with confidence that its history is preserved even if any one of the operational stores is corrupted or maliciously tampered.</w:t>
      </w:r>
    </w:p>
    <w:p>
      <w:pPr>
        <w:spacing w:after="140" w:line="320"/>
        <w:jc w:val="both"/>
      </w:pPr>
      <w:r>
        <w:rPr>
          <w:rFonts w:ascii="Arial" w:cs="Arial" w:eastAsia="Arial" w:hAnsi="Arial"/>
          <w:b w:val="false"/>
          <w:bCs w:val="false"/>
          <w:i w:val="false"/>
          <w:iCs w:val="false"/>
          <w:color w:val="2C2C2A"/>
          <w:sz w:val="22"/>
          <w:szCs w:val="22"/>
        </w:rPr>
        <w:t xml:space="preserve">Cluster deployment is six brokers across the two sites with three-replica topics for operational data and five-replica for audit topics. ZooKeeper is replaced by Kafka Raft (KRaft) consensus, removing the operational dependency on a separate coordination service. Schema management is via the Confluent Schema Registry deployed within the platform, with mandatory backward-compatible schema evolution for all production topics.</w:t>
      </w:r>
    </w:p>
    <w:p>
      <w:pPr>
        <w:pStyle w:val="Heading2"/>
        <w:spacing w:after="160" w:before="320"/>
      </w:pPr>
      <w:r>
        <w:rPr>
          <w:rFonts w:ascii="Arial" w:cs="Arial" w:eastAsia="Arial" w:hAnsi="Arial"/>
          <w:b/>
          <w:bCs/>
          <w:color w:val="1A1A1A"/>
          <w:sz w:val="28"/>
          <w:szCs w:val="28"/>
        </w:rPr>
        <w:t xml:space="preserve">MinIO — object storage</w:t>
      </w:r>
    </w:p>
    <w:p>
      <w:pPr>
        <w:spacing w:after="140" w:line="320"/>
        <w:jc w:val="both"/>
      </w:pPr>
      <w:r>
        <w:rPr>
          <w:rFonts w:ascii="Arial" w:cs="Arial" w:eastAsia="Arial" w:hAnsi="Arial"/>
          <w:b w:val="false"/>
          <w:bCs w:val="false"/>
          <w:i w:val="false"/>
          <w:iCs w:val="false"/>
          <w:color w:val="2C2C2A"/>
          <w:sz w:val="22"/>
          <w:szCs w:val="22"/>
        </w:rPr>
        <w:t xml:space="preserve">MinIO serves as the object store for opaque binary content: declaration PDFs, scanned identity documents, notary attestations, photographs, declarant signatures, and evidence files generated by the Investigation Workbench. Deployment is a distributed MinIO cluster across the two sites with erasure coding for durability and at-rest encryption with data encryption keys wrapped by the HSM-resident master key for the object-store namespace.</w:t>
      </w:r>
    </w:p>
    <w:p>
      <w:pPr>
        <w:spacing w:after="140" w:line="320"/>
        <w:jc w:val="both"/>
      </w:pPr>
      <w:r>
        <w:rPr>
          <w:rFonts w:ascii="Arial" w:cs="Arial" w:eastAsia="Arial" w:hAnsi="Arial"/>
          <w:b w:val="false"/>
          <w:bCs w:val="false"/>
          <w:i w:val="false"/>
          <w:iCs w:val="false"/>
          <w:color w:val="2C2C2A"/>
          <w:sz w:val="22"/>
          <w:szCs w:val="22"/>
        </w:rPr>
        <w:t xml:space="preserve">Object lifecycle policies are configured per object class. Declaration documents are retained indefinitely; access log archives are retained for seven years (the statutory limit for AML records in Cameroon under Law 2017/006 as amended); evidence packages for active investigations are retained until case closure plus the statutory limit. Object versioning is enabled for declaration documents to support correction workflows without history loss. Object-level access policies are enforced via MinIO’s IAM-style configuration, with all access proxied through the platform’s Access Service rather than directly accessible to clients.</w:t>
      </w:r>
    </w:p>
    <w:p>
      <w:pPr>
        <w:pStyle w:val="Heading2"/>
        <w:spacing w:after="160" w:before="320"/>
      </w:pPr>
      <w:r>
        <w:rPr>
          <w:rFonts w:ascii="Arial" w:cs="Arial" w:eastAsia="Arial" w:hAnsi="Arial"/>
          <w:b/>
          <w:bCs/>
          <w:color w:val="1A1A1A"/>
          <w:sz w:val="28"/>
          <w:szCs w:val="28"/>
        </w:rPr>
        <w:t xml:space="preserve">Caching layer — Redis</w:t>
      </w:r>
    </w:p>
    <w:p>
      <w:pPr>
        <w:spacing w:after="140" w:line="320"/>
        <w:jc w:val="both"/>
      </w:pPr>
      <w:r>
        <w:rPr>
          <w:rFonts w:ascii="Arial" w:cs="Arial" w:eastAsia="Arial" w:hAnsi="Arial"/>
          <w:b w:val="false"/>
          <w:bCs w:val="false"/>
          <w:i w:val="false"/>
          <w:iCs w:val="false"/>
          <w:color w:val="2C2C2A"/>
          <w:sz w:val="22"/>
          <w:szCs w:val="22"/>
        </w:rPr>
        <w:t xml:space="preserve">Redis is deployed as an in-memory caching and rate-limiting layer in front of the persistent stores. Three Redis Sentinel-coordinated instances per site provide high availability. Cache invalidation is event-driven via Kafka: changes to underlying data emit invalidation events that the cache subscribes to. Redis also operates the token-bucket rate limiters per consumer institution in Layer 4 and the session store for the user-facing applications in Layer 6.</w:t>
      </w:r>
    </w:p>
    <w:p>
      <w:pPr>
        <w:pStyle w:val="Heading2"/>
        <w:spacing w:after="160" w:before="320"/>
      </w:pPr>
      <w:r>
        <w:rPr>
          <w:rFonts w:ascii="Arial" w:cs="Arial" w:eastAsia="Arial" w:hAnsi="Arial"/>
          <w:b/>
          <w:bCs/>
          <w:color w:val="1A1A1A"/>
          <w:sz w:val="28"/>
          <w:szCs w:val="28"/>
        </w:rPr>
        <w:t xml:space="preserve">Storage technology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Store</w:t>
            </w:r>
          </w:p>
        </w:tc>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Role</w:t>
            </w:r>
          </w:p>
        </w:tc>
        <w:tc>
          <w:tcPr>
            <w:tcW w:type="dxa" w:w="4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Access patterns served</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PostgreSQL 16</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Canonical system of record</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Transactional reads and writes, point-in-time queries, structured-data analytics via read replicas.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Neo4j Enterprise</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 graph</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Transitive ownership traversal, cycle detection, community detection, multi-hop pattern matching.</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OpenSearch</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Fuzzy entity resolution</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Transliteration-tolerant name search, date-of-birth-tolerant person matching, multi-attribute candidate generation.</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Apache Kafka</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Immutable event log</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reconstruction, projection rebuild, downstream consumer feeds, disaster recovery substrate.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MinIO</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Object storage</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Opaque binary content: documents, scans, evidence packages.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Redis</w:t>
            </w:r>
          </w:p>
        </w:tc>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 and rate limiting</w:t>
            </w:r>
          </w:p>
        </w:tc>
        <w:tc>
          <w:tcPr>
            <w:tcW w:type="dxa" w:w="4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Hot-path lookups, session state, per-consumer rate limits.</w:t>
            </w:r>
          </w:p>
        </w:tc>
      </w:tr>
    </w:tbl>
    <w:p>
      <w:pPr>
        <w:pStyle w:val="Heading2"/>
        <w:spacing w:after="160" w:before="320"/>
      </w:pPr>
      <w:r>
        <w:rPr>
          <w:rFonts w:ascii="Arial" w:cs="Arial" w:eastAsia="Arial" w:hAnsi="Arial"/>
          <w:b/>
          <w:bCs/>
          <w:color w:val="1A1A1A"/>
          <w:sz w:val="28"/>
          <w:szCs w:val="28"/>
        </w:rPr>
        <w:t xml:space="preserve">Encryption posture</w:t>
      </w:r>
    </w:p>
    <w:p>
      <w:pPr>
        <w:spacing w:after="140" w:line="320"/>
        <w:jc w:val="both"/>
      </w:pPr>
      <w:r>
        <w:rPr>
          <w:rFonts w:ascii="Arial" w:cs="Arial" w:eastAsia="Arial" w:hAnsi="Arial"/>
          <w:b w:val="false"/>
          <w:bCs w:val="false"/>
          <w:i w:val="false"/>
          <w:iCs w:val="false"/>
          <w:color w:val="2C2C2A"/>
          <w:sz w:val="22"/>
          <w:szCs w:val="22"/>
        </w:rPr>
        <w:t xml:space="preserve">All storage technologies operate with at-rest encryption using envelope encryption rooted in the HSM-resident master keys. PostgreSQL employs Transparent Data Encryption at the tablespace level; Neo4j employs Enterprise Edition at-rest encryption; OpenSearch employs the index-level encryption plugin; Kafka employs the broker-level encryption configuration; MinIO employs server-side encryption with key management delegated to the platform KMS. Data encryption keys are rotated quarterly under a documented ceremony. The cipher suite is AES-256-GCM throughout. In-transit encryption between the storage layer and consumer services is TLS 1.3 with mutual authentication via SPIFFE/SPIRE-issued certificates.</w:t>
      </w:r>
    </w:p>
    <w:p>
      <w:pPr>
        <w:pStyle w:val="Heading2"/>
        <w:spacing w:after="160" w:before="320"/>
      </w:pPr>
      <w:r>
        <w:rPr>
          <w:rFonts w:ascii="Arial" w:cs="Arial" w:eastAsia="Arial" w:hAnsi="Arial"/>
          <w:b/>
          <w:bCs/>
          <w:color w:val="1A1A1A"/>
          <w:sz w:val="28"/>
          <w:szCs w:val="28"/>
        </w:rPr>
        <w:t xml:space="preserve">Backup and disaster recovery</w:t>
      </w:r>
    </w:p>
    <w:p>
      <w:pPr>
        <w:spacing w:after="140" w:line="320"/>
        <w:jc w:val="both"/>
      </w:pPr>
      <w:r>
        <w:rPr>
          <w:rFonts w:ascii="Arial" w:cs="Arial" w:eastAsia="Arial" w:hAnsi="Arial"/>
          <w:b w:val="false"/>
          <w:bCs w:val="false"/>
          <w:i w:val="false"/>
          <w:iCs w:val="false"/>
          <w:color w:val="2C2C2A"/>
          <w:sz w:val="22"/>
          <w:szCs w:val="22"/>
        </w:rPr>
        <w:t xml:space="preserve">Backup posture is multi-layered. Continuous physical replication ensures synchronous standby. Continuous logical replication via Kafka topics ensures derived-projection recoverability. Periodic full backups are taken nightly and archived to the air-gapped backup site, with the latest seven nightly backups retained on-site and a rolling thirty-day archive at the air-gapped site. Disaster recovery procedures target a recovery point objective of five minutes (the maximum acceptable data loss) and a recovery time objective of one hour (the maximum acceptable downtime), with full-rebuild from Kafka providing a recovery path for catastrophic loss with a recovery time objective of twenty-four hours. Disaster recovery procedures are rehearsed quarterly with documented run-books and post-exercise reviews.</w:t>
      </w:r>
    </w:p>
    <w:p>
      <w:pPr>
        <w:pStyle w:val="Heading1"/>
        <w:pageBreakBefore/>
        <w:spacing w:after="240" w:before="480"/>
      </w:pPr>
      <w:r>
        <w:rPr>
          <w:rFonts w:ascii="Arial" w:cs="Arial" w:eastAsia="Arial" w:hAnsi="Arial"/>
          <w:b/>
          <w:bCs/>
          <w:color w:val="1A1A1A"/>
          <w:sz w:val="36"/>
          <w:szCs w:val="36"/>
        </w:rPr>
        <w:t xml:space="preserve">Layer 2 — Domain Services</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2 implements the domain logic of the registry as twelve bounded contexts, each deployed as a separately versioned service. The architectural commitment is that each service owns its data, communicates with other services only over authenticated and authorised channels, and exposes a versioned contract that consumers within Layer 3 and above depend on rather than reaching into the service’s internals. This discipline permits each service to be developed, deployed, and operated by a small team with a clear scope of responsibility, and it permits institutional ownership of services to be distributed across the consortium where appropriate.</w:t>
      </w:r>
    </w:p>
    <w:p>
      <w:pPr>
        <w:pStyle w:val="Heading2"/>
        <w:spacing w:after="160" w:before="320"/>
      </w:pPr>
      <w:r>
        <w:rPr>
          <w:rFonts w:ascii="Arial" w:cs="Arial" w:eastAsia="Arial" w:hAnsi="Arial"/>
          <w:b/>
          <w:bCs/>
          <w:color w:val="1A1A1A"/>
          <w:sz w:val="28"/>
          <w:szCs w:val="28"/>
        </w:rPr>
        <w:t xml:space="preserve">Service decomposition</w:t>
      </w:r>
    </w:p>
    <w:p>
      <w:pPr>
        <w:spacing w:after="140" w:line="320"/>
        <w:jc w:val="both"/>
      </w:pPr>
      <w:r>
        <w:rPr>
          <w:rFonts w:ascii="Arial" w:cs="Arial" w:eastAsia="Arial" w:hAnsi="Arial"/>
          <w:b w:val="false"/>
          <w:bCs w:val="false"/>
          <w:i w:val="false"/>
          <w:iCs w:val="false"/>
          <w:color w:val="2C2C2A"/>
          <w:sz w:val="22"/>
          <w:szCs w:val="22"/>
        </w:rPr>
        <w:t xml:space="preserve">The twelve services are listed below. Each section that follows describes the service’s responsibility, its data ownership, the principal operations it exposes, and the institutional team that operates it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c>
          <w:tcPr>
            <w:tcW w:type="dxa" w:w="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Service</w:t>
            </w:r>
          </w:p>
        </w:tc>
        <w:tc>
          <w:tcPr>
            <w:tcW w:type="dxa" w:w="5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Responsibility</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Owns legal-entity records, lifecycle state machines, registry-status transitions, and entity-level metadata.</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Owns natural-person canonical records and the multiple verified identity claims that resolve to them.</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Handles beneficial-ownership declaration intake, the multi-stage state machine from draft to acceptance or rejection, and cryptographic attestation of declarant intent.</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Owns the temporal ownership graph: time-bounded ownership and control edges with provenance back to the declarations that established them.</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verification engine orchestrator. Documented in detail in the Layer 3 chapter.</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Risk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Owns risk flag generation, scoring, the Dempster–Shafer fusion logic, and the lane-routing decision.</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Identity-Resolution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Handles entity matching, person matching, and the fuzzy-match decisions for declared identities against external feeds.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Enforces attribute-based access control via OPA/Rego on every read of restricted-tier and encrypted-tier data.</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Generates the immutable audit log, batches it for OpenTimestamps anchoring, and exposes it for independent verification.</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Workflow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Runs all long-running workflows via Temporal: investigations, whistleblower triage, retroactive declaration campaigns, enforcement actions.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11</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Notification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Handles outbound communication to declarants, officers, and consumers via email, SMS, webhooks, and in-application notifications.</w:t>
            </w:r>
          </w:p>
        </w:tc>
      </w:tr>
      <w:tr>
        <w:tc>
          <w:tcPr>
            <w:tcW w:type="dxa" w:w="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12</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Reporting Service</w:t>
            </w:r>
          </w:p>
        </w:tc>
        <w:tc>
          <w:tcPr>
            <w:tcW w:type="dxa" w:w="5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Generates regular and ad-hoc reports for consortium governance, international partners, and statutory reporting obligations.</w:t>
            </w:r>
          </w:p>
        </w:tc>
      </w:tr>
    </w:tbl>
    <w:p>
      <w:pPr>
        <w:pStyle w:val="Heading2"/>
        <w:spacing w:after="160" w:before="320"/>
      </w:pPr>
      <w:r>
        <w:rPr>
          <w:rFonts w:ascii="Arial" w:cs="Arial" w:eastAsia="Arial" w:hAnsi="Arial"/>
          <w:b/>
          <w:bCs/>
          <w:color w:val="1A1A1A"/>
          <w:sz w:val="28"/>
          <w:szCs w:val="28"/>
        </w:rPr>
        <w:t xml:space="preserve">Inter-service communication</w:t>
      </w:r>
    </w:p>
    <w:p>
      <w:pPr>
        <w:spacing w:after="140" w:line="320"/>
        <w:jc w:val="both"/>
      </w:pPr>
      <w:r>
        <w:rPr>
          <w:rFonts w:ascii="Arial" w:cs="Arial" w:eastAsia="Arial" w:hAnsi="Arial"/>
          <w:b w:val="false"/>
          <w:bCs w:val="false"/>
          <w:i w:val="false"/>
          <w:iCs w:val="false"/>
          <w:color w:val="2C2C2A"/>
          <w:sz w:val="22"/>
          <w:szCs w:val="22"/>
        </w:rPr>
        <w:t xml:space="preserve">All inter-service communication is over gRPC with mutual TLS. Workload identity is issued by SPIFFE/SPIRE, with each service receiving a unique SPIFFE ID rotated daily. Service-to-service authorisation is enforced at both the network layer (the service mesh enforces that only callers with allow-listed SPIFFE IDs can connect) and the application layer (the called service verifies the caller identity and applies the appropriate authorisation policy).</w:t>
      </w:r>
    </w:p>
    <w:p>
      <w:pPr>
        <w:spacing w:after="140" w:line="320"/>
        <w:jc w:val="both"/>
      </w:pPr>
      <w:r>
        <w:rPr>
          <w:rFonts w:ascii="Arial" w:cs="Arial" w:eastAsia="Arial" w:hAnsi="Arial"/>
          <w:b w:val="false"/>
          <w:bCs w:val="false"/>
          <w:i w:val="false"/>
          <w:iCs w:val="false"/>
          <w:color w:val="2C2C2A"/>
          <w:sz w:val="22"/>
          <w:szCs w:val="22"/>
        </w:rPr>
        <w:t xml:space="preserve">Synchronous gRPC is used for transactional operations that require an immediate response: a verification stage querying the Person Service for an identity record, an access decision returning to a user-facing application. Asynchronous Kafka events are used for state-change notification and for long-running workflows: a declaration acceptance event triggers downstream verification activity, a verification outcome event triggers risk-flag generation. The discipline is that gRPC is for direct query-response, Kafka is for state propagation; mixing the patterns is forbidden because it produces brittle, hard-to-reason-about systems.</w:t>
      </w:r>
    </w:p>
    <w:p>
      <w:pPr>
        <w:pStyle w:val="Heading2"/>
        <w:spacing w:after="160" w:before="320"/>
      </w:pPr>
      <w:r>
        <w:rPr>
          <w:rFonts w:ascii="Arial" w:cs="Arial" w:eastAsia="Arial" w:hAnsi="Arial"/>
          <w:b/>
          <w:bCs/>
          <w:color w:val="1A1A1A"/>
          <w:sz w:val="28"/>
          <w:szCs w:val="28"/>
        </w:rPr>
        <w:t xml:space="preserve">Service-by-service specification</w:t>
      </w:r>
    </w:p>
    <w:p>
      <w:pPr>
        <w:pStyle w:val="Heading3"/>
        <w:spacing w:after="120" w:before="240"/>
      </w:pPr>
      <w:r>
        <w:rPr>
          <w:rFonts w:ascii="Arial" w:cs="Arial" w:eastAsia="Arial" w:hAnsi="Arial"/>
          <w:b/>
          <w:bCs/>
          <w:color w:val="1A1A1A"/>
          <w:sz w:val="24"/>
          <w:szCs w:val="24"/>
        </w:rPr>
        <w:t xml:space="preserve">Entity Service</w:t>
      </w:r>
    </w:p>
    <w:p>
      <w:pPr>
        <w:spacing w:after="140" w:line="320"/>
        <w:jc w:val="both"/>
      </w:pPr>
      <w:r>
        <w:rPr>
          <w:rFonts w:ascii="Arial" w:cs="Arial" w:eastAsia="Arial" w:hAnsi="Arial"/>
          <w:b w:val="false"/>
          <w:bCs w:val="false"/>
          <w:i w:val="false"/>
          <w:iCs w:val="false"/>
          <w:color w:val="2C2C2A"/>
          <w:sz w:val="22"/>
          <w:szCs w:val="22"/>
        </w:rPr>
        <w:t xml:space="preserve">The Entity Service owns the canonical legal-entity record. A legal-entity record includes the entity’s unique platform identifier, the multiple external identifiers by which the entity is known (RCCM registration number issued by CFCE, NIU tax identifier issued by DGI, sectoral licence identifiers where applicable), the entity’s legal form, its incorporation date, its registered address and contact information, its declared business activity, its lifecycle status (active, suspended, in liquidation, dissolved), and its history of status transitions.</w:t>
      </w:r>
    </w:p>
    <w:p>
      <w:pPr>
        <w:spacing w:after="140" w:line="320"/>
        <w:jc w:val="both"/>
      </w:pPr>
      <w:r>
        <w:rPr>
          <w:rFonts w:ascii="Arial" w:cs="Arial" w:eastAsia="Arial" w:hAnsi="Arial"/>
          <w:b w:val="false"/>
          <w:bCs w:val="false"/>
          <w:i w:val="false"/>
          <w:iCs w:val="false"/>
          <w:color w:val="2C2C2A"/>
          <w:sz w:val="22"/>
          <w:szCs w:val="22"/>
        </w:rPr>
        <w:t xml:space="preserve">The principal operations exposed are: registerEntity (called by CFCE at incorporation), updateEntity (called for permitted updates throughout entity lifetime), getEntity (called by every consumer that needs canonical entity data), searchEntities (delegated to OpenSearch for fuzzy entity-name search), listEntitiesByCriteria (bulk listing with pagination, used by analytic consumers), changeEntityStatus (gated by appropriate authorisation), and getEntityHistory (returns the temporal sequence of status transitions and material updates). Each operation that mutates state generates a Kafka event consumed by downstream services.</w:t>
      </w:r>
    </w:p>
    <w:p>
      <w:pPr>
        <w:pStyle w:val="Heading3"/>
        <w:spacing w:after="120" w:before="240"/>
      </w:pPr>
      <w:r>
        <w:rPr>
          <w:rFonts w:ascii="Arial" w:cs="Arial" w:eastAsia="Arial" w:hAnsi="Arial"/>
          <w:b/>
          <w:bCs/>
          <w:color w:val="1A1A1A"/>
          <w:sz w:val="24"/>
          <w:szCs w:val="24"/>
        </w:rPr>
        <w:t xml:space="preserve">Person Service</w:t>
      </w:r>
    </w:p>
    <w:p>
      <w:pPr>
        <w:spacing w:after="140" w:line="320"/>
        <w:jc w:val="both"/>
      </w:pPr>
      <w:r>
        <w:rPr>
          <w:rFonts w:ascii="Arial" w:cs="Arial" w:eastAsia="Arial" w:hAnsi="Arial"/>
          <w:b w:val="false"/>
          <w:bCs w:val="false"/>
          <w:i w:val="false"/>
          <w:iCs w:val="false"/>
          <w:color w:val="2C2C2A"/>
          <w:sz w:val="22"/>
          <w:szCs w:val="22"/>
        </w:rPr>
        <w:t xml:space="preserve">The Person Service owns the canonical natural-person record. A person record includes the platform identifier, the multiple verified identity claims (CNI for Cameroonian nationals, passport for foreigners, NIU where the person is also a registered taxpayer), full name with all known transliteration variants, date of birth (modelled as a date range to handle BUNEC date uncertainty), nationality or nationalities, residential address, contact information, photograph (where collected at declaration), and PEP status (denormalised from the PEP register with a refreshed-at timestamp).</w:t>
      </w:r>
    </w:p>
    <w:p>
      <w:pPr>
        <w:spacing w:after="140" w:line="320"/>
        <w:jc w:val="both"/>
      </w:pPr>
      <w:r>
        <w:rPr>
          <w:rFonts w:ascii="Arial" w:cs="Arial" w:eastAsia="Arial" w:hAnsi="Arial"/>
          <w:b w:val="false"/>
          <w:bCs w:val="false"/>
          <w:i w:val="false"/>
          <w:iCs w:val="false"/>
          <w:color w:val="2C2C2A"/>
          <w:sz w:val="22"/>
          <w:szCs w:val="22"/>
        </w:rPr>
        <w:t xml:space="preserve">The principal operations are getPerson, searchPersons (fuzzy, transliteration-aware, delegated to OpenSearch), createPerson (called from declaration intake), updatePerson (gated, with the change history retained), getPersonHistory, and resolvePerson (the identity-resolution flow that determines whether two declared identities refer to the same canonical person). The Person Service holds the most sensitive personally identifiable information in the platform; column-level encryption is applied to identifier fields, and every read access generates an audit log entry consumed by the Audit Service.</w:t>
      </w:r>
    </w:p>
    <w:p>
      <w:pPr>
        <w:pStyle w:val="Heading3"/>
        <w:spacing w:after="120" w:before="240"/>
      </w:pPr>
      <w:r>
        <w:rPr>
          <w:rFonts w:ascii="Arial" w:cs="Arial" w:eastAsia="Arial" w:hAnsi="Arial"/>
          <w:b/>
          <w:bCs/>
          <w:color w:val="1A1A1A"/>
          <w:sz w:val="24"/>
          <w:szCs w:val="24"/>
        </w:rPr>
        <w:t xml:space="preserve">Declaration Service</w:t>
      </w:r>
    </w:p>
    <w:p>
      <w:pPr>
        <w:spacing w:after="140" w:line="320"/>
        <w:jc w:val="both"/>
      </w:pPr>
      <w:r>
        <w:rPr>
          <w:rFonts w:ascii="Arial" w:cs="Arial" w:eastAsia="Arial" w:hAnsi="Arial"/>
          <w:b w:val="false"/>
          <w:bCs w:val="false"/>
          <w:i w:val="false"/>
          <w:iCs w:val="false"/>
          <w:color w:val="2C2C2A"/>
          <w:sz w:val="22"/>
          <w:szCs w:val="22"/>
        </w:rPr>
        <w:t xml:space="preserve">The Declaration Service owns the beneficial-ownership declaration record. A declaration includes the platform identifier, the declared legal entity, the declarant (the natural or legal person submitting the declaration on behalf of the entity), the declared beneficial owners (one or more), the type of control or interest each beneficial owner exercises (ownership, voting rights, family proxy, other control), the percentage interest where quantifiable, the effective-from date of the declared structure, the supporting documents attached, the cryptographic attestation by the declarant, the lifecycle status (draft, submitted, in verification, accepted, rejected, superseded), and the verification outcome reference once verification completes.</w:t>
      </w:r>
    </w:p>
    <w:p>
      <w:pPr>
        <w:spacing w:after="140" w:line="320"/>
        <w:jc w:val="both"/>
      </w:pPr>
      <w:r>
        <w:rPr>
          <w:rFonts w:ascii="Arial" w:cs="Arial" w:eastAsia="Arial" w:hAnsi="Arial"/>
          <w:b w:val="false"/>
          <w:bCs w:val="false"/>
          <w:i w:val="false"/>
          <w:iCs w:val="false"/>
          <w:color w:val="2C2C2A"/>
          <w:sz w:val="22"/>
          <w:szCs w:val="22"/>
        </w:rPr>
        <w:t xml:space="preserve">Principal operations include createDeclaration (initiated from the Declarant Portal), updateDeclaration (permitted only while in draft), submitDeclaration (triggers the verification pipeline), getDeclaration, listDeclarationsForEntity, listDeclarationsForPerson, and supersedeDeclaration (creates a new declaration that replaces an existing one, with the prior declaration retained in history).</w:t>
      </w:r>
    </w:p>
    <w:p>
      <w:pPr>
        <w:pStyle w:val="Heading3"/>
        <w:spacing w:after="120" w:before="240"/>
      </w:pPr>
      <w:r>
        <w:rPr>
          <w:rFonts w:ascii="Arial" w:cs="Arial" w:eastAsia="Arial" w:hAnsi="Arial"/>
          <w:b/>
          <w:bCs/>
          <w:color w:val="1A1A1A"/>
          <w:sz w:val="24"/>
          <w:szCs w:val="24"/>
        </w:rPr>
        <w:t xml:space="preserve">Ownership Service</w:t>
      </w:r>
    </w:p>
    <w:p>
      <w:pPr>
        <w:spacing w:after="140" w:line="320"/>
        <w:jc w:val="both"/>
      </w:pPr>
      <w:r>
        <w:rPr>
          <w:rFonts w:ascii="Arial" w:cs="Arial" w:eastAsia="Arial" w:hAnsi="Arial"/>
          <w:b w:val="false"/>
          <w:bCs w:val="false"/>
          <w:i w:val="false"/>
          <w:iCs w:val="false"/>
          <w:color w:val="2C2C2A"/>
          <w:sz w:val="22"/>
          <w:szCs w:val="22"/>
        </w:rPr>
        <w:t xml:space="preserve">The Ownership Service owns the temporal ownership graph as projected into Neo4j. Each ownership edge represents one beneficial ownership or control relationship between a beneficial owner (a natural person) and a legal entity, including the percentage where applicable, the type of interest, the validity interval, and the declaration that established the edge. The service’s responsibility is to maintain the graph projection in synchrony with the underlying declarations as the source of truth, and to expose graph queries that higher layers (particularly the Verification Engine, the Investigation Workbench, and the conflict-of-interest computation for ARMP) depend on.</w:t>
      </w:r>
    </w:p>
    <w:p>
      <w:pPr>
        <w:spacing w:after="140" w:line="320"/>
        <w:jc w:val="both"/>
      </w:pPr>
      <w:r>
        <w:rPr>
          <w:rFonts w:ascii="Arial" w:cs="Arial" w:eastAsia="Arial" w:hAnsi="Arial"/>
          <w:b w:val="false"/>
          <w:bCs w:val="false"/>
          <w:i w:val="false"/>
          <w:iCs w:val="false"/>
          <w:color w:val="2C2C2A"/>
          <w:sz w:val="22"/>
          <w:szCs w:val="22"/>
        </w:rPr>
        <w:t xml:space="preserve">Principal operations: traverseOwnership (multi-hop traversal with depth limit), findCommunities (community-detection algorithms surfacing hidden clusters), findCycles (cycle detection for circular ownership structures), getBeneficialOwnersOfEntity (resolves the natural persons who ultimately benefit, with their proportional interests), getEntitiesOwnedByPerson (the inverse view), getOwnershipAtTime (temporal point-in-time view), and getOwnershipPath (returns the path or paths through which a person beneficially owns an entity). All operations support time-bounded queries through the validity intervals on edges.</w:t>
      </w:r>
    </w:p>
    <w:p>
      <w:pPr>
        <w:pStyle w:val="Heading3"/>
        <w:spacing w:after="120" w:before="240"/>
      </w:pPr>
      <w:r>
        <w:rPr>
          <w:rFonts w:ascii="Arial" w:cs="Arial" w:eastAsia="Arial" w:hAnsi="Arial"/>
          <w:b/>
          <w:bCs/>
          <w:color w:val="1A1A1A"/>
          <w:sz w:val="24"/>
          <w:szCs w:val="24"/>
        </w:rPr>
        <w:t xml:space="preserve">Verification Service</w:t>
      </w:r>
    </w:p>
    <w:p>
      <w:pPr>
        <w:spacing w:after="140" w:line="320"/>
        <w:jc w:val="both"/>
      </w:pPr>
      <w:r>
        <w:rPr>
          <w:rFonts w:ascii="Arial" w:cs="Arial" w:eastAsia="Arial" w:hAnsi="Arial"/>
          <w:b w:val="false"/>
          <w:bCs w:val="false"/>
          <w:i w:val="false"/>
          <w:iCs w:val="false"/>
          <w:color w:val="2C2C2A"/>
          <w:sz w:val="22"/>
          <w:szCs w:val="22"/>
        </w:rPr>
        <w:t xml:space="preserve">The Verification Service is the orchestrator of the nine-stage verification pipeline. Its full specification is the subject of the Layer 3 chapter. From the perspective of Layer 2, the Verification Service’s contract is that on receipt of a submitted declaration event, it executes the pipeline, emits stage-level Verification Events for each stage, produces a final verification outcome with associated risk flags and lane assignment, and writes the outcome back through the Declaration and Risk Services.</w:t>
      </w:r>
    </w:p>
    <w:p>
      <w:pPr>
        <w:pStyle w:val="Heading3"/>
        <w:spacing w:after="120" w:before="240"/>
      </w:pPr>
      <w:r>
        <w:rPr>
          <w:rFonts w:ascii="Arial" w:cs="Arial" w:eastAsia="Arial" w:hAnsi="Arial"/>
          <w:b/>
          <w:bCs/>
          <w:color w:val="1A1A1A"/>
          <w:sz w:val="24"/>
          <w:szCs w:val="24"/>
        </w:rPr>
        <w:t xml:space="preserve">Risk Service</w:t>
      </w:r>
    </w:p>
    <w:p>
      <w:pPr>
        <w:spacing w:after="140" w:line="320"/>
        <w:jc w:val="both"/>
      </w:pPr>
      <w:r>
        <w:rPr>
          <w:rFonts w:ascii="Arial" w:cs="Arial" w:eastAsia="Arial" w:hAnsi="Arial"/>
          <w:b w:val="false"/>
          <w:bCs w:val="false"/>
          <w:i w:val="false"/>
          <w:iCs w:val="false"/>
          <w:color w:val="2C2C2A"/>
          <w:sz w:val="22"/>
          <w:szCs w:val="22"/>
        </w:rPr>
        <w:t xml:space="preserve">The Risk Service owns the risk model. A risk flag includes the flag class (a specific pattern signature, an external screening hit, a manual flag raised by a human reviewer), the severity, the supporting evidence (a structured reference to the underlying verification events or external data), the lifecycle status (open, in review, confirmed, dismissed), and the analyst notes if any. The service computes the authenticity score and the risk score for each entity and each declaration using the Dempster–Shafer fusion logic over the verification stage outcomes, and exposes those scores to the consumer integrations.</w:t>
      </w:r>
    </w:p>
    <w:p>
      <w:pPr>
        <w:pStyle w:val="Heading3"/>
        <w:spacing w:after="120" w:before="240"/>
      </w:pPr>
      <w:r>
        <w:rPr>
          <w:rFonts w:ascii="Arial" w:cs="Arial" w:eastAsia="Arial" w:hAnsi="Arial"/>
          <w:b/>
          <w:bCs/>
          <w:color w:val="1A1A1A"/>
          <w:sz w:val="24"/>
          <w:szCs w:val="24"/>
        </w:rPr>
        <w:t xml:space="preserve">Identity-Resolution Service</w:t>
      </w:r>
    </w:p>
    <w:p>
      <w:pPr>
        <w:spacing w:after="140" w:line="320"/>
        <w:jc w:val="both"/>
      </w:pPr>
      <w:r>
        <w:rPr>
          <w:rFonts w:ascii="Arial" w:cs="Arial" w:eastAsia="Arial" w:hAnsi="Arial"/>
          <w:b w:val="false"/>
          <w:bCs w:val="false"/>
          <w:i w:val="false"/>
          <w:iCs w:val="false"/>
          <w:color w:val="2C2C2A"/>
          <w:sz w:val="22"/>
          <w:szCs w:val="22"/>
        </w:rPr>
        <w:t xml:space="preserve">The Identity-Resolution Service is the engine that resolves declared identity claims to canonical Person records. Its core operation is: given an identity claim (a name, a date of birth, an identifier of some kind, possibly a photograph), return either the matching canonical Person record with confidence above a threshold, or a list of candidate matches for human disambiguation, or a non-match. The resolution applies the OpenSearch fuzzy-match analyser chains, BUNEC biometric verification where available, sanctions-list and PEP-list fuzzy matching, and Tier B Anthropic Opus 4.7 reasoning for ambiguous cases.</w:t>
      </w:r>
    </w:p>
    <w:p>
      <w:pPr>
        <w:pStyle w:val="Heading3"/>
        <w:spacing w:after="120" w:before="240"/>
      </w:pPr>
      <w:r>
        <w:rPr>
          <w:rFonts w:ascii="Arial" w:cs="Arial" w:eastAsia="Arial" w:hAnsi="Arial"/>
          <w:b/>
          <w:bCs/>
          <w:color w:val="1A1A1A"/>
          <w:sz w:val="24"/>
          <w:szCs w:val="24"/>
        </w:rPr>
        <w:t xml:space="preserve">Access Service</w:t>
      </w:r>
    </w:p>
    <w:p>
      <w:pPr>
        <w:spacing w:after="140" w:line="320"/>
        <w:jc w:val="both"/>
      </w:pPr>
      <w:r>
        <w:rPr>
          <w:rFonts w:ascii="Arial" w:cs="Arial" w:eastAsia="Arial" w:hAnsi="Arial"/>
          <w:b w:val="false"/>
          <w:bCs w:val="false"/>
          <w:i w:val="false"/>
          <w:iCs w:val="false"/>
          <w:color w:val="2C2C2A"/>
          <w:sz w:val="22"/>
          <w:szCs w:val="22"/>
        </w:rPr>
        <w:t xml:space="preserve">The Access Service is the policy enforcement point for restricted-tier and encrypted-tier reads. It is implemented as a sidecar proxy in front of every service that holds tiered data, and it operates an Open Policy Agent (OPA) engine with policies authored in Rego. The policies encode the access matrix: who is permitted to read what, under what conditions, with what audit obligations. The Access Service operates synchronously — every restricted-tier or encrypted-tier read flows through it — with response times in the single-millisecond range under normal load. Policy changes are deployed via GitOps with mandatory review and threshold-signed approval for material changes.</w:t>
      </w:r>
    </w:p>
    <w:p>
      <w:pPr>
        <w:pStyle w:val="Heading3"/>
        <w:spacing w:after="120" w:before="240"/>
      </w:pPr>
      <w:r>
        <w:rPr>
          <w:rFonts w:ascii="Arial" w:cs="Arial" w:eastAsia="Arial" w:hAnsi="Arial"/>
          <w:b/>
          <w:bCs/>
          <w:color w:val="1A1A1A"/>
          <w:sz w:val="24"/>
          <w:szCs w:val="24"/>
        </w:rPr>
        <w:t xml:space="preserve">Audit Service</w:t>
      </w:r>
    </w:p>
    <w:p>
      <w:pPr>
        <w:spacing w:after="140" w:line="320"/>
        <w:jc w:val="both"/>
      </w:pPr>
      <w:r>
        <w:rPr>
          <w:rFonts w:ascii="Arial" w:cs="Arial" w:eastAsia="Arial" w:hAnsi="Arial"/>
          <w:b w:val="false"/>
          <w:bCs w:val="false"/>
          <w:i w:val="false"/>
          <w:iCs w:val="false"/>
          <w:color w:val="2C2C2A"/>
          <w:sz w:val="22"/>
          <w:szCs w:val="22"/>
        </w:rPr>
        <w:t xml:space="preserve">The Audit Service is operated independently of the rest of the platform, with its own deployment pipeline, its own credentials, and its own institutional team. This separation is the structural property that permits the Audit Service to verify the integrity of the rest of the platform; if it were co-operated by the same team that operates the operational services, it would not provide independent assurance.</w:t>
      </w:r>
    </w:p>
    <w:p>
      <w:pPr>
        <w:spacing w:after="140" w:line="320"/>
        <w:jc w:val="both"/>
      </w:pPr>
      <w:r>
        <w:rPr>
          <w:rFonts w:ascii="Arial" w:cs="Arial" w:eastAsia="Arial" w:hAnsi="Arial"/>
          <w:b w:val="false"/>
          <w:bCs w:val="false"/>
          <w:i w:val="false"/>
          <w:iCs w:val="false"/>
          <w:color w:val="2C2C2A"/>
          <w:sz w:val="22"/>
          <w:szCs w:val="22"/>
        </w:rPr>
        <w:t xml:space="preserve">The service’s responsibility is to consume audit events from every other service, persist them in an append-only audit log, batch them for OpenTimestamps anchoring, and expose verification interfaces to authorised auditors. Audit events include every access lookup, every policy decision (allow or deny), every workflow state transition, every declaration submission and verification outcome, every administrative action, and every signature operation. The audit log is itself a Fabric channel record so that audit events are endorsed by the consortium membership of that channel.</w:t>
      </w:r>
    </w:p>
    <w:p>
      <w:pPr>
        <w:pStyle w:val="Heading3"/>
        <w:spacing w:after="120" w:before="240"/>
      </w:pPr>
      <w:r>
        <w:rPr>
          <w:rFonts w:ascii="Arial" w:cs="Arial" w:eastAsia="Arial" w:hAnsi="Arial"/>
          <w:b/>
          <w:bCs/>
          <w:color w:val="1A1A1A"/>
          <w:sz w:val="24"/>
          <w:szCs w:val="24"/>
        </w:rPr>
        <w:t xml:space="preserve">Workflow Service</w:t>
      </w:r>
    </w:p>
    <w:p>
      <w:pPr>
        <w:spacing w:after="140" w:line="320"/>
        <w:jc w:val="both"/>
      </w:pPr>
      <w:r>
        <w:rPr>
          <w:rFonts w:ascii="Arial" w:cs="Arial" w:eastAsia="Arial" w:hAnsi="Arial"/>
          <w:b w:val="false"/>
          <w:bCs w:val="false"/>
          <w:i w:val="false"/>
          <w:iCs w:val="false"/>
          <w:color w:val="2C2C2A"/>
          <w:sz w:val="22"/>
          <w:szCs w:val="22"/>
        </w:rPr>
        <w:t xml:space="preserve">The Workflow Service is built on Temporal and runs all long-running workflows in the platform. The workflows include: investigation case-management (from case opening through evidence gathering, analyst review, decision, and closure), whistleblower triage (from secure intake through identity-preserving triage to case routing), retroactive declaration campaigns (a multi-month workflow that walks pre-existing entities through declaration submission), and enforcement actions (from flag confirmation through administrative action and appeal). Temporal’s deterministic replay property is operationally important: workflows that span months can be inspected and replayed for audit purposes without ambiguity.</w:t>
      </w:r>
    </w:p>
    <w:p>
      <w:pPr>
        <w:pStyle w:val="Heading3"/>
        <w:spacing w:after="120" w:before="240"/>
      </w:pPr>
      <w:r>
        <w:rPr>
          <w:rFonts w:ascii="Arial" w:cs="Arial" w:eastAsia="Arial" w:hAnsi="Arial"/>
          <w:b/>
          <w:bCs/>
          <w:color w:val="1A1A1A"/>
          <w:sz w:val="24"/>
          <w:szCs w:val="24"/>
        </w:rPr>
        <w:t xml:space="preserve">Notification Service</w:t>
      </w:r>
    </w:p>
    <w:p>
      <w:pPr>
        <w:spacing w:after="140" w:line="320"/>
        <w:jc w:val="both"/>
      </w:pPr>
      <w:r>
        <w:rPr>
          <w:rFonts w:ascii="Arial" w:cs="Arial" w:eastAsia="Arial" w:hAnsi="Arial"/>
          <w:b w:val="false"/>
          <w:bCs w:val="false"/>
          <w:i w:val="false"/>
          <w:iCs w:val="false"/>
          <w:color w:val="2C2C2A"/>
          <w:sz w:val="22"/>
          <w:szCs w:val="22"/>
        </w:rPr>
        <w:t xml:space="preserve">The Notification Service handles outbound communication. Channels supported include transactional email (via a sovereign SMTP gateway with TLS to receiving servers), SMS via the Cameroonian mobile network operator gateways, webhook delivery to consumer institutions, and in-application notifications surfaced through the user-facing applications in Layer 6. Notification templates are version-controlled, with translation support for French (primary) and English (secondary). Delivery is at-least-once with idempotency keys.</w:t>
      </w:r>
    </w:p>
    <w:p>
      <w:pPr>
        <w:pStyle w:val="Heading3"/>
        <w:spacing w:after="120" w:before="240"/>
      </w:pPr>
      <w:r>
        <w:rPr>
          <w:rFonts w:ascii="Arial" w:cs="Arial" w:eastAsia="Arial" w:hAnsi="Arial"/>
          <w:b/>
          <w:bCs/>
          <w:color w:val="1A1A1A"/>
          <w:sz w:val="24"/>
          <w:szCs w:val="24"/>
        </w:rPr>
        <w:t xml:space="preserve">Reporting Service</w:t>
      </w:r>
    </w:p>
    <w:p>
      <w:pPr>
        <w:spacing w:after="140" w:line="320"/>
        <w:jc w:val="both"/>
      </w:pPr>
      <w:r>
        <w:rPr>
          <w:rFonts w:ascii="Arial" w:cs="Arial" w:eastAsia="Arial" w:hAnsi="Arial"/>
          <w:b w:val="false"/>
          <w:bCs w:val="false"/>
          <w:i w:val="false"/>
          <w:iCs w:val="false"/>
          <w:color w:val="2C2C2A"/>
          <w:sz w:val="22"/>
          <w:szCs w:val="22"/>
        </w:rPr>
        <w:t xml:space="preserve">The Reporting Service generates the reports that support consortium governance, regulatory reporting, and international partner consumption. Statutory reports include the quarterly summary of registry activity to consortium governance, the annual report to the National Assembly’s relevant committee, the periodic submissions to FATF and GABAC mutual evaluation cycles, and the BODS export feed to Open Ownership. Ad-hoc reporting is supported through a reporting query interface accessible to authorised analysts.</w:t>
      </w:r>
    </w:p>
    <w:p>
      <w:pPr>
        <w:pStyle w:val="Heading2"/>
        <w:spacing w:after="160" w:before="320"/>
      </w:pPr>
      <w:r>
        <w:rPr>
          <w:rFonts w:ascii="Arial" w:cs="Arial" w:eastAsia="Arial" w:hAnsi="Arial"/>
          <w:b/>
          <w:bCs/>
          <w:color w:val="1A1A1A"/>
          <w:sz w:val="28"/>
          <w:szCs w:val="28"/>
        </w:rPr>
        <w:t xml:space="preserve">Deployment topology</w:t>
      </w:r>
    </w:p>
    <w:p>
      <w:pPr>
        <w:spacing w:after="140" w:line="320"/>
        <w:jc w:val="both"/>
      </w:pPr>
      <w:r>
        <w:rPr>
          <w:rFonts w:ascii="Arial" w:cs="Arial" w:eastAsia="Arial" w:hAnsi="Arial"/>
          <w:b w:val="false"/>
          <w:bCs w:val="false"/>
          <w:i w:val="false"/>
          <w:iCs w:val="false"/>
          <w:color w:val="2C2C2A"/>
          <w:sz w:val="22"/>
          <w:szCs w:val="22"/>
        </w:rPr>
        <w:t xml:space="preserve">All twelve services are deployed on Kubernetes (one cluster per operational site, federated for cross-site coordination) with GitOps deployment via Argo CD and infrastructure-as-code via Terraform. Service mesh is Istio with mutual TLS enforced platform-wide. Horizontal pod autoscaling is configured per service with conservative scaling policies. Each service is deployed across both operational sites in an active-active configuration with cross-site read traffic, single-site write traffic per partition, and automated failover.</w:t>
      </w:r>
    </w:p>
    <w:p>
      <w:pPr>
        <w:pStyle w:val="Heading1"/>
        <w:pageBreakBefore/>
        <w:spacing w:after="240" w:before="480"/>
      </w:pPr>
      <w:r>
        <w:rPr>
          <w:rFonts w:ascii="Arial" w:cs="Arial" w:eastAsia="Arial" w:hAnsi="Arial"/>
          <w:b/>
          <w:bCs/>
          <w:color w:val="1A1A1A"/>
          <w:sz w:val="36"/>
          <w:szCs w:val="36"/>
        </w:rPr>
        <w:t xml:space="preserve">Layer 3 — The Verification Engine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verification engine is the layer that determines whether RÉCOR is credible infrastructure or theatre. Every architectural commitment of the platform terminates here: if verification fails to catch the dominant adversarial failure modes, the rest of the platform serves authoritative-sounding data that is in fact wrong, which is a worse outcome than having no platform at all.</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The verification engine processes every declaration through a nine-stage pipeline and re-evaluates existing records on a daily cadence as upstream feeds refresh. The architectural commitment is twofold: first, that no declaration enters the served data set without passing through every stage and accumulating evidence at each stage; and second, that the engine is engineered to defeat the dominant adversarial failure mode in beneficial-ownership systems internationally — the declaration of real but proxy identities serving as fronts for the actual beneficial owner. The first commitment is procedural; the second is technical and is the principal reason the engine receives the largest share of platform engineering investment.</w:t>
      </w:r>
    </w:p>
    <w:p>
      <w:pPr>
        <w:pStyle w:val="Heading2"/>
        <w:spacing w:after="160" w:before="320"/>
      </w:pPr>
      <w:r>
        <w:rPr>
          <w:rFonts w:ascii="Arial" w:cs="Arial" w:eastAsia="Arial" w:hAnsi="Arial"/>
          <w:b/>
          <w:bCs/>
          <w:color w:val="1A1A1A"/>
          <w:sz w:val="28"/>
          <w:szCs w:val="28"/>
        </w:rPr>
        <w:t xml:space="preserve">The nine stages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t>
            </w:r>
          </w:p>
        </w:tc>
        <w:tc>
          <w:tcPr>
            <w:tcW w:type="dxa" w:w="2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Function</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 and format validation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Deterministic validation of declaration well-formedness. No external calls. Fail-fast on malformed input.</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 authentication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Resolution of declared identities against BUNEC (national identity register), NIU (tax register), and the immigration database. Biometric confirmation where available.</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Sanctions screening</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Daily-refreshed fuzzy matching against UN Security Council, OFAC SDN, EU consolidated list, UK HM Treasury, INTERPOL. Tier A reasoning over ambiguous matches.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Politically-exposed-persons screening</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Commercial international PEP feed plus sovereign domestic PEP register. Enhanced-due-diligence routing on hit.</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Adverse media and leaked-data screening</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Retrieval-augmented Tier A reasoning over curated multilingual news corpora and ICIJ leaked-data archives.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Pattern detection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signature classes detecting structural anomalies that signal front-person concealment. Tier B reasoning for ambiguous cases.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Cross-source triangulation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Consistency check across CFCE, ARMP bidder filings, DGI taxpayer rolls, real-estate transfer records, concession holders, and bank KYC re-uses.</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Belief-function fusion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Dempster–Shafer fusion of stages 2 through 7 into an authenticity score and a risk score, with explicit handling of evidence absence.</w:t>
            </w:r>
          </w:p>
        </w:tc>
      </w:tr>
      <w:tr>
        <w:tc>
          <w:tcPr>
            <w:tcW w:type="dxa" w:w="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w:t>
            </w:r>
          </w:p>
        </w:tc>
        <w:tc>
          <w:tcPr>
            <w:tcW w:type="dxa" w:w="2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 routing</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Decision: green (auto-accept), yellow (human review), or red (investigation referral). Cryptographically signed and ledger-anchored.</w:t>
            </w:r>
          </w:p>
        </w:tc>
      </w:tr>
    </w:tbl>
    <w:p>
      <w:pPr>
        <w:pStyle w:val="Heading2"/>
        <w:spacing w:after="160" w:before="320"/>
      </w:pPr>
      <w:r>
        <w:rPr>
          <w:rFonts w:ascii="Arial" w:cs="Arial" w:eastAsia="Arial" w:hAnsi="Arial"/>
          <w:b/>
          <w:bCs/>
          <w:color w:val="1A1A1A"/>
          <w:sz w:val="28"/>
          <w:szCs w:val="28"/>
        </w:rPr>
        <w:t xml:space="preserve">Stage 1 — Schema and format validation</w:t>
      </w:r>
    </w:p>
    <w:p>
      <w:pPr>
        <w:spacing w:after="140" w:line="320"/>
        <w:jc w:val="both"/>
      </w:pPr>
      <w:r>
        <w:rPr>
          <w:rFonts w:ascii="Arial" w:cs="Arial" w:eastAsia="Arial" w:hAnsi="Arial"/>
          <w:b w:val="false"/>
          <w:bCs w:val="false"/>
          <w:i w:val="false"/>
          <w:iCs w:val="false"/>
          <w:color w:val="2C2C2A"/>
          <w:sz w:val="22"/>
          <w:szCs w:val="22"/>
        </w:rPr>
        <w:t xml:space="preserve">Stage 1 is purely deterministic. A declaration is validated against the canonical schema (JSON Schema with platform-specific extensions for cryptographic attestations and document references). Required fields must be present, optional fields must conform to type, identifier fields must match the format of the issuing system, document references must resolve to actual documents in the MinIO object store, and the declarant’s cryptographic attestation must verify against the declarant’s public key as registered in the platform identity provider. A declaration that fails Stage 1 is rejected with a structured error explaining the failure, and the rejection is itself logged. No external service is called at Stage 1; the entire stage runs in single-digit milliseconds.</w:t>
      </w:r>
    </w:p>
    <w:p>
      <w:pPr>
        <w:pStyle w:val="Heading2"/>
        <w:spacing w:after="160" w:before="320"/>
      </w:pPr>
      <w:r>
        <w:rPr>
          <w:rFonts w:ascii="Arial" w:cs="Arial" w:eastAsia="Arial" w:hAnsi="Arial"/>
          <w:b/>
          <w:bCs/>
          <w:color w:val="1A1A1A"/>
          <w:sz w:val="28"/>
          <w:szCs w:val="28"/>
        </w:rPr>
        <w:t xml:space="preserve">Stage 2 — Identity authentication</w:t>
      </w:r>
    </w:p>
    <w:p>
      <w:pPr>
        <w:spacing w:after="140" w:line="320"/>
        <w:jc w:val="both"/>
      </w:pPr>
      <w:r>
        <w:rPr>
          <w:rFonts w:ascii="Arial" w:cs="Arial" w:eastAsia="Arial" w:hAnsi="Arial"/>
          <w:b w:val="false"/>
          <w:bCs w:val="false"/>
          <w:i w:val="false"/>
          <w:iCs w:val="false"/>
          <w:color w:val="2C2C2A"/>
          <w:sz w:val="22"/>
          <w:szCs w:val="22"/>
        </w:rPr>
        <w:t xml:space="preserve">Stage 2 authenticates each declared beneficial owner’s identity against the authoritative national systems. The pipeline diverges by nationality of the declared person.</w:t>
      </w:r>
    </w:p>
    <w:p>
      <w:pPr>
        <w:spacing w:after="140" w:line="320"/>
        <w:jc w:val="both"/>
      </w:pPr>
      <w:r>
        <w:rPr>
          <w:rFonts w:ascii="Arial" w:cs="Arial" w:eastAsia="Arial" w:hAnsi="Arial"/>
          <w:b w:val="false"/>
          <w:bCs w:val="false"/>
          <w:i w:val="false"/>
          <w:iCs w:val="false"/>
          <w:color w:val="2C2C2A"/>
          <w:sz w:val="22"/>
          <w:szCs w:val="22"/>
        </w:rPr>
        <w:t xml:space="preserve">For Cameroonian nationals, the BUNEC adapter performs a lookup against the national identity register using the declared CNI number, returning the canonical record (full name with administrative spellings, date of birth, place of birth, parents’ names, residential address as registered, photograph where available, and biometric template where available). The declared name is matched against the BUNEC record using the fuzzy-match analyser chains, with locale-aware transliteration handling. Where a biometric template is available and the declarant’s biometric is collected at declaration submission, biometric verification is performed within the BUNEC adapter (the biometric never leaves BUNEC’s perimeter; the adapter returns a match-confidence score).</w:t>
      </w:r>
    </w:p>
    <w:p>
      <w:pPr>
        <w:spacing w:after="140" w:line="320"/>
        <w:jc w:val="both"/>
      </w:pPr>
      <w:r>
        <w:rPr>
          <w:rFonts w:ascii="Arial" w:cs="Arial" w:eastAsia="Arial" w:hAnsi="Arial"/>
          <w:b w:val="false"/>
          <w:bCs w:val="false"/>
          <w:i w:val="false"/>
          <w:iCs w:val="false"/>
          <w:color w:val="2C2C2A"/>
          <w:sz w:val="22"/>
          <w:szCs w:val="22"/>
        </w:rPr>
        <w:t xml:space="preserve">For foreign nationals, the immigration adapter performs a lookup against the immigration database using the declared passport number and country of issuance, returning visa status, entry record, and the photograph captured at visa application. Where the declared person is a national of a country with which Cameroon has data-sharing arrangements (notably other CEMAC members and France for specific categories), the adapter may extend to verification against the issuing country’s identity infrastructure subject to those arrangements.</w:t>
      </w:r>
    </w:p>
    <w:p>
      <w:pPr>
        <w:spacing w:after="140" w:line="320"/>
        <w:jc w:val="both"/>
      </w:pPr>
      <w:r>
        <w:rPr>
          <w:rFonts w:ascii="Arial" w:cs="Arial" w:eastAsia="Arial" w:hAnsi="Arial"/>
          <w:b w:val="false"/>
          <w:bCs w:val="false"/>
          <w:i w:val="false"/>
          <w:iCs w:val="false"/>
          <w:color w:val="2C2C2A"/>
          <w:sz w:val="22"/>
          <w:szCs w:val="22"/>
        </w:rPr>
        <w:t xml:space="preserve">For declared persons who are also registered taxpayers, the NIU cross-reference confirms that the declared person’s identifier matches the canonical taxpayer record at DGI, including consistency of name and date of birth.</w:t>
      </w:r>
    </w:p>
    <w:p>
      <w:pPr>
        <w:spacing w:after="140" w:line="320"/>
        <w:jc w:val="both"/>
      </w:pPr>
      <w:r>
        <w:rPr>
          <w:rFonts w:ascii="Arial" w:cs="Arial" w:eastAsia="Arial" w:hAnsi="Arial"/>
          <w:b w:val="false"/>
          <w:bCs w:val="false"/>
          <w:i w:val="false"/>
          <w:iCs w:val="false"/>
          <w:color w:val="2C2C2A"/>
          <w:sz w:val="22"/>
          <w:szCs w:val="22"/>
        </w:rPr>
        <w:t xml:space="preserve">The hardest case at Stage 2 is the legitimate identity that is itself a front — a real schoolteacher in Bafoussam declared as the beneficial owner of a procurement vehicle she has never heard of. Stage 2 cannot catch this case. </w:t>
      </w:r>
      <w:r>
        <w:rPr>
          <w:rFonts w:ascii="Arial" w:cs="Arial" w:eastAsia="Arial" w:hAnsi="Arial"/>
          <w:b/>
          <w:bCs/>
          <w:i w:val="false"/>
          <w:iCs w:val="false"/>
          <w:color w:val="2C2C2A"/>
          <w:sz w:val="22"/>
          <w:szCs w:val="22"/>
        </w:rPr>
        <w:t xml:space="preserve">Catching it is the job of Stages 6 and 7.</w:t>
      </w:r>
    </w:p>
    <w:p>
      <w:pPr>
        <w:spacing w:after="140" w:line="320"/>
        <w:jc w:val="both"/>
      </w:pPr>
      <w:r>
        <w:rPr>
          <w:rFonts w:ascii="Arial" w:cs="Arial" w:eastAsia="Arial" w:hAnsi="Arial"/>
          <w:b w:val="false"/>
          <w:bCs w:val="false"/>
          <w:i w:val="false"/>
          <w:iCs w:val="false"/>
          <w:color w:val="2C2C2A"/>
          <w:sz w:val="22"/>
          <w:szCs w:val="22"/>
        </w:rPr>
        <w:t xml:space="preserve">Stage 2 produces a structured outcome: identity-authenticated (with the canonical Person record reference and the confidence score), identity-ambiguous (with the candidate matches for human disambiguation), or identity-unverified (with the failure reason). Identity-unverified outcomes do not by themselves block acceptance — the platform must operate in an environment where some legitimate declarants are not in BUNEC — but they downgrade the authenticity score in Stage 8.</w:t>
      </w:r>
    </w:p>
    <w:p>
      <w:pPr>
        <w:pStyle w:val="Heading2"/>
        <w:spacing w:after="160" w:before="320"/>
      </w:pPr>
      <w:r>
        <w:rPr>
          <w:rFonts w:ascii="Arial" w:cs="Arial" w:eastAsia="Arial" w:hAnsi="Arial"/>
          <w:b/>
          <w:bCs/>
          <w:color w:val="1A1A1A"/>
          <w:sz w:val="28"/>
          <w:szCs w:val="28"/>
        </w:rPr>
        <w:t xml:space="preserve">Stage 3 — Sanctions screening</w:t>
      </w:r>
    </w:p>
    <w:p>
      <w:pPr>
        <w:spacing w:after="140" w:line="320"/>
        <w:jc w:val="both"/>
      </w:pPr>
      <w:r>
        <w:rPr>
          <w:rFonts w:ascii="Arial" w:cs="Arial" w:eastAsia="Arial" w:hAnsi="Arial"/>
          <w:b w:val="false"/>
          <w:bCs w:val="false"/>
          <w:i w:val="false"/>
          <w:iCs w:val="false"/>
          <w:color w:val="2C2C2A"/>
          <w:sz w:val="22"/>
          <w:szCs w:val="22"/>
        </w:rPr>
        <w:t xml:space="preserve">Stage 3 screens every declared person against the consolidated sanctions corpus. The corpus is assembled and refreshed daily by a dedicated ingestion service that pulls from the following sources: the United Nations Security Council Consolidated Sanctions List, the United States Office of Foreign Assets Control Specially Designated Nationals and Blocked Persons List, the European Union Consolidated List of Sanctions, the United Kingdom HM Treasury Consolidated List, the INTERPOL Red Notice and Wanted Persons indices, and the African Union sanctions lists where applicable.</w:t>
      </w:r>
    </w:p>
    <w:p>
      <w:pPr>
        <w:spacing w:after="140" w:line="320"/>
        <w:jc w:val="both"/>
      </w:pPr>
      <w:r>
        <w:rPr>
          <w:rFonts w:ascii="Arial" w:cs="Arial" w:eastAsia="Arial" w:hAnsi="Arial"/>
          <w:b w:val="false"/>
          <w:bCs w:val="false"/>
          <w:i w:val="false"/>
          <w:iCs w:val="false"/>
          <w:color w:val="2C2C2A"/>
          <w:sz w:val="22"/>
          <w:szCs w:val="22"/>
        </w:rPr>
        <w:t xml:space="preserve">Matching operates at two levels. A high-performance Bloom filter holds the hashed canonical names of the corpus, providing sub-millisecond rejection of confirmed non-matches — the overwhelmingly common case. Candidate matches that survive the Bloom filter proceed to full fuzzy matching against the index, with transliteration-aware analyser chains. Candidate matches above a configurable confidence threshold are escalated to Tier A reasoning.</w:t>
      </w:r>
    </w:p>
    <w:p>
      <w:pPr>
        <w:spacing w:after="140" w:line="320"/>
        <w:jc w:val="both"/>
      </w:pPr>
      <w:r>
        <w:rPr>
          <w:rFonts w:ascii="Arial" w:cs="Arial" w:eastAsia="Arial" w:hAnsi="Arial"/>
          <w:b w:val="false"/>
          <w:bCs w:val="false"/>
          <w:i w:val="false"/>
          <w:iCs w:val="false"/>
          <w:color w:val="2C2C2A"/>
          <w:sz w:val="22"/>
          <w:szCs w:val="22"/>
        </w:rPr>
        <w:t xml:space="preserve">Tier A reasoning at Stage 3 uses Claude Opus 4.7 via the Anthropic API (public-data path; sanctions lists are themselves public). The reasoning task is: given a fuzzy match between a declared person and a sanctions-list entry, determine whether the match is plausible. The model is provided with the declared person’s public attributes (name, date of birth, nationality, business activity), the sanctions-list entry (the sanctioned person’s known aliases, dates of birth where available, the narrative of why they are sanctioned), and any contextual information. The model returns a plausibility classification (plausible, ambiguous, implausible) with a brief rationale. Plausible matches are surfaced to the verification analyst queue and the declaration is provisionally held; implausible matches are dismissed with the dismissal recorded in audit.</w:t>
      </w:r>
    </w:p>
    <w:p>
      <w:pPr>
        <w:spacing w:after="140" w:line="320"/>
        <w:jc w:val="both"/>
      </w:pPr>
      <w:r>
        <w:rPr>
          <w:rFonts w:ascii="Arial" w:cs="Arial" w:eastAsia="Arial" w:hAnsi="Arial"/>
          <w:b w:val="false"/>
          <w:bCs w:val="false"/>
          <w:i w:val="false"/>
          <w:iCs w:val="false"/>
          <w:color w:val="2C2C2A"/>
          <w:sz w:val="22"/>
          <w:szCs w:val="22"/>
        </w:rPr>
        <w:t xml:space="preserve">Fallback path: if the Anthropic API is unavailable, the platform retries with exponential backoff; if the API remains unavailable for longer than the configured timeout, the platform falls back to Claude Sonnet 4.6 via the same API, and if that is also unavailable, to the on-premises sovereign LLM. In every fallback case, the lower-capability outcome triggers a downstream notification to the verification analyst because the reasoning quality at Sonnet or sovereign tier is materially lower than at Opus tier and the analyst will want to apply additional scrutiny.</w:t>
      </w:r>
    </w:p>
    <w:p>
      <w:pPr>
        <w:pStyle w:val="Heading2"/>
        <w:spacing w:after="160" w:before="320"/>
      </w:pPr>
      <w:r>
        <w:rPr>
          <w:rFonts w:ascii="Arial" w:cs="Arial" w:eastAsia="Arial" w:hAnsi="Arial"/>
          <w:b/>
          <w:bCs/>
          <w:color w:val="1A1A1A"/>
          <w:sz w:val="28"/>
          <w:szCs w:val="28"/>
        </w:rPr>
        <w:t xml:space="preserve">Stage 4 — Politically-exposed-persons screening</w:t>
      </w:r>
    </w:p>
    <w:p>
      <w:pPr>
        <w:spacing w:after="140" w:line="320"/>
        <w:jc w:val="both"/>
      </w:pPr>
      <w:r>
        <w:rPr>
          <w:rFonts w:ascii="Arial" w:cs="Arial" w:eastAsia="Arial" w:hAnsi="Arial"/>
          <w:b w:val="false"/>
          <w:bCs w:val="false"/>
          <w:i w:val="false"/>
          <w:iCs w:val="false"/>
          <w:color w:val="2C2C2A"/>
          <w:sz w:val="22"/>
          <w:szCs w:val="22"/>
        </w:rPr>
        <w:t xml:space="preserve">Stage 4 screens every declared person against the consolidated politically-exposed-persons corpus. The corpus has two components.</w:t>
      </w:r>
    </w:p>
    <w:p>
      <w:pPr>
        <w:spacing w:after="140" w:line="320"/>
        <w:jc w:val="both"/>
      </w:pPr>
      <w:r>
        <w:rPr>
          <w:rFonts w:ascii="Arial" w:cs="Arial" w:eastAsia="Arial" w:hAnsi="Arial"/>
          <w:b w:val="false"/>
          <w:bCs w:val="false"/>
          <w:i w:val="false"/>
          <w:iCs w:val="false"/>
          <w:color w:val="2C2C2A"/>
          <w:sz w:val="22"/>
          <w:szCs w:val="22"/>
        </w:rPr>
        <w:t xml:space="preserve">The international component is sourced from a commercial PEP database (LSEG World-Check as primary, Dow Jones Risk Compliance as the contracted secondary for cross-verification). The commercial PEP feed covers foreign PEPs, diaspora PEPs, and Cameroonian PEPs of international prominence. The feed is licensed under contract and refreshed daily.</w:t>
      </w:r>
    </w:p>
    <w:p>
      <w:pPr>
        <w:spacing w:after="140" w:line="320"/>
        <w:jc w:val="both"/>
      </w:pPr>
      <w:r>
        <w:rPr>
          <w:rFonts w:ascii="Arial" w:cs="Arial" w:eastAsia="Arial" w:hAnsi="Arial"/>
          <w:b w:val="false"/>
          <w:bCs w:val="false"/>
          <w:i w:val="false"/>
          <w:iCs w:val="false"/>
          <w:color w:val="2C2C2A"/>
          <w:sz w:val="22"/>
          <w:szCs w:val="22"/>
        </w:rPr>
        <w:t xml:space="preserve">The sovereign domestic component is the Domestic PEP Register, maintained as its own trust domain within the platform. The register is itself a sensitive artefact: the line between a PEP and a private citizen in Cameroon is politically contested, particularly for relatives of officials, for officials no longer in office, and for officials of subnational authority. The register is governed by a designated PEP Committee with consortium representation, with additions and removals to the register requiring threshold-signed approval (seven of ten consortium key-holders, including at least one non-state seat). This governance is the structural property that prevents the PEP register from being quietly manipulated to add political opponents or to remove regime allies.</w:t>
      </w:r>
    </w:p>
    <w:p>
      <w:pPr>
        <w:spacing w:after="140" w:line="320"/>
        <w:jc w:val="both"/>
      </w:pPr>
      <w:r>
        <w:rPr>
          <w:rFonts w:ascii="Arial" w:cs="Arial" w:eastAsia="Arial" w:hAnsi="Arial"/>
          <w:b w:val="false"/>
          <w:bCs w:val="false"/>
          <w:i w:val="false"/>
          <w:iCs w:val="false"/>
          <w:color w:val="2C2C2A"/>
          <w:sz w:val="22"/>
          <w:szCs w:val="22"/>
        </w:rPr>
        <w:t xml:space="preserve">PEP status does not by itself block declaration acceptance. PEP status triggers enhanced-due-diligence routing: the declaration is automatically flagged for human review even if other stages produce clean outcomes, downstream consumers (notably ARMP and ANIF) receive PEP enrichment on every query that returns the affected person, and the entity is placed on a PEP-monitoring list with periodic re-screening. The reasoning is that PEP status is a regulatory category that warrants attention, not a finding of wrongdoing.</w:t>
      </w:r>
    </w:p>
    <w:p>
      <w:pPr>
        <w:pStyle w:val="Heading2"/>
        <w:spacing w:after="160" w:before="320"/>
      </w:pPr>
      <w:r>
        <w:rPr>
          <w:rFonts w:ascii="Arial" w:cs="Arial" w:eastAsia="Arial" w:hAnsi="Arial"/>
          <w:b/>
          <w:bCs/>
          <w:color w:val="1A1A1A"/>
          <w:sz w:val="28"/>
          <w:szCs w:val="28"/>
        </w:rPr>
        <w:t xml:space="preserve">Stage 5 — Adverse media and leaked-data screening</w:t>
      </w:r>
    </w:p>
    <w:p>
      <w:pPr>
        <w:spacing w:after="140" w:line="320"/>
        <w:jc w:val="both"/>
      </w:pPr>
      <w:r>
        <w:rPr>
          <w:rFonts w:ascii="Arial" w:cs="Arial" w:eastAsia="Arial" w:hAnsi="Arial"/>
          <w:b w:val="false"/>
          <w:bCs w:val="false"/>
          <w:i w:val="false"/>
          <w:iCs w:val="false"/>
          <w:color w:val="2C2C2A"/>
          <w:sz w:val="22"/>
          <w:szCs w:val="22"/>
        </w:rPr>
        <w:t xml:space="preserve">Stage 5 screens every declared person against the adverse-media and leaked-data corpora. The adverse-media corpus is a curated multilingual news index covering French (primary, given Cameroon’s official language and the relevance of francophone African and European press), English (secondary, for international coverage and anglophone Cameroonian press), German (for diaspora-relevant European coverage), and Arabic (for North African coverage relevant to certain capital flows). The corpus is assembled by a dedicated ingestion service from licensed news aggregators, RSS feeds of designated outlets, and crawled archives of designated investigative-journalism outlets.</w:t>
      </w:r>
    </w:p>
    <w:p>
      <w:pPr>
        <w:spacing w:after="140" w:line="320"/>
        <w:jc w:val="both"/>
      </w:pPr>
      <w:r>
        <w:rPr>
          <w:rFonts w:ascii="Arial" w:cs="Arial" w:eastAsia="Arial" w:hAnsi="Arial"/>
          <w:b w:val="false"/>
          <w:bCs w:val="false"/>
          <w:i w:val="false"/>
          <w:iCs w:val="false"/>
          <w:color w:val="2C2C2A"/>
          <w:sz w:val="22"/>
          <w:szCs w:val="22"/>
        </w:rPr>
        <w:t xml:space="preserve">The leaked-data corpus integrates the International Consortium of Investigative Journalists archives: Offshore Leaks, Panama Papers, Paradise Papers, Pandora Papers, FinCEN Files, and Suisse Secrets. Each of these archives contains entity-name and natural-person-name records that, where matched against a declared beneficial owner, is high-signal evidence that the declared person operates within the offshore concealment ecosystem and warrants enhanced scrutiny.</w:t>
      </w:r>
    </w:p>
    <w:p>
      <w:pPr>
        <w:spacing w:after="140" w:line="320"/>
        <w:jc w:val="both"/>
      </w:pPr>
      <w:r>
        <w:rPr>
          <w:rFonts w:ascii="Arial" w:cs="Arial" w:eastAsia="Arial" w:hAnsi="Arial"/>
          <w:b w:val="false"/>
          <w:bCs w:val="false"/>
          <w:i w:val="false"/>
          <w:iCs w:val="false"/>
          <w:color w:val="2C2C2A"/>
          <w:sz w:val="22"/>
          <w:szCs w:val="22"/>
        </w:rPr>
        <w:t xml:space="preserve">Matching is performed via retrieval-augmented generation. The corpora are indexed in OpenSearch with embeddings generated by an in-platform embedding service. On a query, the system retrieves candidate documents that match the declared person on name and contextual attributes, and Tier A Claude Opus 4.7 reasoning evaluates each candidate match for relevance and severity, distinguishing “person named in unrelated context” from “person directly implicated.” The reasoning output is a structured assessment with severity classification and a citation back to the underlying document, which is retained as evidence.</w:t>
      </w:r>
    </w:p>
    <w:p>
      <w:pPr>
        <w:spacing w:after="140" w:line="320"/>
        <w:jc w:val="both"/>
      </w:pPr>
      <w:r>
        <w:rPr>
          <w:rFonts w:ascii="Arial" w:cs="Arial" w:eastAsia="Arial" w:hAnsi="Arial"/>
          <w:b w:val="false"/>
          <w:bCs w:val="false"/>
          <w:i w:val="false"/>
          <w:iCs w:val="false"/>
          <w:color w:val="2C2C2A"/>
          <w:sz w:val="22"/>
          <w:szCs w:val="22"/>
        </w:rPr>
        <w:t xml:space="preserve">This is the stage where the artificial intelligence investment pays the largest visible dividend. A traditional keyword-search adverse-media check returns thousands of false positives that overwhelm verification analysts. Tier A reasoning at Stage 5 reduces the false-positive rate to a level where analysts can actually review the surfaced matches — which is the difference between an adverse-media check that gets used and one that gets ignored.</w:t>
      </w:r>
    </w:p>
    <w:p>
      <w:pPr>
        <w:pStyle w:val="Heading2"/>
        <w:spacing w:after="160" w:before="320"/>
      </w:pPr>
      <w:r>
        <w:rPr>
          <w:rFonts w:ascii="Arial" w:cs="Arial" w:eastAsia="Arial" w:hAnsi="Arial"/>
          <w:b/>
          <w:bCs/>
          <w:color w:val="1A1A1A"/>
          <w:sz w:val="28"/>
          <w:szCs w:val="28"/>
        </w:rPr>
        <w:t xml:space="preserve">Stage 6 — Pattern detection</w:t>
      </w:r>
    </w:p>
    <w:p>
      <w:pPr>
        <w:spacing w:after="140" w:line="320"/>
        <w:jc w:val="both"/>
      </w:pPr>
      <w:r>
        <w:rPr>
          <w:rFonts w:ascii="Arial" w:cs="Arial" w:eastAsia="Arial" w:hAnsi="Arial"/>
          <w:b w:val="false"/>
          <w:bCs w:val="false"/>
          <w:i w:val="false"/>
          <w:iCs w:val="false"/>
          <w:color w:val="2C2C2A"/>
          <w:sz w:val="22"/>
          <w:szCs w:val="22"/>
        </w:rPr>
        <w:t xml:space="preserve">Stage 6 is the structural-anomaly detection stage. It is the stage that catches fronts rather than fakes, and it is where the engine either earns its credibility or loses it. Eight signature classes run as parallel detectors over the declaration in the context of the rest of the registry.</w:t>
      </w:r>
    </w:p>
    <w:p>
      <w:pPr>
        <w:pStyle w:val="Heading3"/>
        <w:spacing w:after="120" w:before="240"/>
      </w:pPr>
      <w:r>
        <w:rPr>
          <w:rFonts w:ascii="Arial" w:cs="Arial" w:eastAsia="Arial" w:hAnsi="Arial"/>
          <w:b/>
          <w:bCs/>
          <w:color w:val="1A1A1A"/>
          <w:sz w:val="24"/>
          <w:szCs w:val="24"/>
        </w:rPr>
        <w:t xml:space="preserve">Signature 1 — Concentration anomaly</w:t>
      </w:r>
    </w:p>
    <w:p>
      <w:pPr>
        <w:spacing w:after="140" w:line="320"/>
        <w:jc w:val="both"/>
      </w:pPr>
      <w:r>
        <w:rPr>
          <w:rFonts w:ascii="Arial" w:cs="Arial" w:eastAsia="Arial" w:hAnsi="Arial"/>
          <w:b w:val="false"/>
          <w:bCs w:val="false"/>
          <w:i w:val="false"/>
          <w:iCs w:val="false"/>
          <w:color w:val="2C2C2A"/>
          <w:sz w:val="22"/>
          <w:szCs w:val="22"/>
        </w:rPr>
        <w:t xml:space="preserve">A single declared person appearing as the beneficial owner of an implausible number of unrelated entities is a high-signal pattern. The detector computes, for each declared person, the count of entities for which they are declared as a beneficial owner, weighted by the dissimilarity of the entities’ business activities. A schoolteacher declared as the BO of one entity is normal; a schoolteacher declared as the BO of fifteen entities operating in mining, construction, and import-export is a structural anomaly. Threshold parameters are calibrated empirically against the historical declaration distribution and re-calibrated quarterly.</w:t>
      </w:r>
    </w:p>
    <w:p>
      <w:pPr>
        <w:pStyle w:val="Heading3"/>
        <w:spacing w:after="120" w:before="240"/>
      </w:pPr>
      <w:r>
        <w:rPr>
          <w:rFonts w:ascii="Arial" w:cs="Arial" w:eastAsia="Arial" w:hAnsi="Arial"/>
          <w:b/>
          <w:bCs/>
          <w:color w:val="1A1A1A"/>
          <w:sz w:val="24"/>
          <w:szCs w:val="24"/>
        </w:rPr>
        <w:t xml:space="preserve">Signature 2 — Wealth-profile mismatch</w:t>
      </w:r>
    </w:p>
    <w:p>
      <w:pPr>
        <w:spacing w:after="140" w:line="320"/>
        <w:jc w:val="both"/>
      </w:pPr>
      <w:r>
        <w:rPr>
          <w:rFonts w:ascii="Arial" w:cs="Arial" w:eastAsia="Arial" w:hAnsi="Arial"/>
          <w:b w:val="false"/>
          <w:bCs w:val="false"/>
          <w:i w:val="false"/>
          <w:iCs w:val="false"/>
          <w:color w:val="2C2C2A"/>
          <w:sz w:val="22"/>
          <w:szCs w:val="22"/>
        </w:rPr>
        <w:t xml:space="preserve">The declared beneficial owner’s socio-economic profile, as derivable from BUNEC and DGI records, is checked for consistency with the scale of the entity they are declared to own. A retired schoolteacher with a documented annual income of two million CFA francs declared as the beneficial owner of a mining concession-holding entity with declared capital of two billion CFA francs is a structural mismatch. Tier B Claude Opus 4.7 reasoning evaluates each candidate mismatch with the relevant context. This detector is the principal counter to the legitimate-identity-as-front failure mode that Stage 2 cannot catch.</w:t>
      </w:r>
    </w:p>
    <w:p>
      <w:pPr>
        <w:pStyle w:val="Heading3"/>
        <w:spacing w:after="120" w:before="240"/>
      </w:pPr>
      <w:r>
        <w:rPr>
          <w:rFonts w:ascii="Arial" w:cs="Arial" w:eastAsia="Arial" w:hAnsi="Arial"/>
          <w:b/>
          <w:bCs/>
          <w:color w:val="1A1A1A"/>
          <w:sz w:val="24"/>
          <w:szCs w:val="24"/>
        </w:rPr>
        <w:t xml:space="preserve">Signature 3 — Address clustering</w:t>
      </w:r>
    </w:p>
    <w:p>
      <w:pPr>
        <w:spacing w:after="140" w:line="320"/>
        <w:jc w:val="both"/>
      </w:pPr>
      <w:r>
        <w:rPr>
          <w:rFonts w:ascii="Arial" w:cs="Arial" w:eastAsia="Arial" w:hAnsi="Arial"/>
          <w:b w:val="false"/>
          <w:bCs w:val="false"/>
          <w:i w:val="false"/>
          <w:iCs w:val="false"/>
          <w:color w:val="2C2C2A"/>
          <w:sz w:val="22"/>
          <w:szCs w:val="22"/>
        </w:rPr>
        <w:t xml:space="preserve">Many unrelated entities sharing the same registered address is the classic registered-agent farm pattern. The detector computes per-address counts of registered entities, weighted by the dissimilarity of the entities and adjusted for legitimate business cases (commercial buildings legitimately host many tenants; co-working spaces and incubators legitimately register many entities). Tier B reasoning evaluates candidate matches with awareness of the legitimate cases. The detector also handles address-normalisation, since Cameroonian addresses are recorded in many formats.</w:t>
      </w:r>
    </w:p>
    <w:p>
      <w:pPr>
        <w:pStyle w:val="Heading3"/>
        <w:spacing w:after="120" w:before="240"/>
      </w:pPr>
      <w:r>
        <w:rPr>
          <w:rFonts w:ascii="Arial" w:cs="Arial" w:eastAsia="Arial" w:hAnsi="Arial"/>
          <w:b/>
          <w:bCs/>
          <w:color w:val="1A1A1A"/>
          <w:sz w:val="24"/>
          <w:szCs w:val="24"/>
        </w:rPr>
        <w:t xml:space="preserve">Signature 4 — Notary clustering</w:t>
      </w:r>
    </w:p>
    <w:p>
      <w:pPr>
        <w:spacing w:after="140" w:line="320"/>
        <w:jc w:val="both"/>
      </w:pPr>
      <w:r>
        <w:rPr>
          <w:rFonts w:ascii="Arial" w:cs="Arial" w:eastAsia="Arial" w:hAnsi="Arial"/>
          <w:b w:val="false"/>
          <w:bCs w:val="false"/>
          <w:i w:val="false"/>
          <w:iCs w:val="false"/>
          <w:color w:val="2C2C2A"/>
          <w:sz w:val="22"/>
          <w:szCs w:val="22"/>
        </w:rPr>
        <w:t xml:space="preserve">Beneficial-ownership declarations frequently pass through notaries, who attest to the identity of the declarant. Many unrelated declarations passing through the same notary in a narrow time window can indicate either a legitimate notary specialising in business formation or an intermediary servicing a network of concealed entities. The detector surfaces clusters above the calibrated threshold and Tier B reasoning evaluates whether the pattern is consistent with a legitimate practice or with suspicious activity.</w:t>
      </w:r>
    </w:p>
    <w:p>
      <w:pPr>
        <w:pStyle w:val="Heading3"/>
        <w:spacing w:after="120" w:before="240"/>
      </w:pPr>
      <w:r>
        <w:rPr>
          <w:rFonts w:ascii="Arial" w:cs="Arial" w:eastAsia="Arial" w:hAnsi="Arial"/>
          <w:b/>
          <w:bCs/>
          <w:color w:val="1A1A1A"/>
          <w:sz w:val="24"/>
          <w:szCs w:val="24"/>
        </w:rPr>
        <w:t xml:space="preserve">Signature 5 — Tender-correlated registration</w:t>
      </w:r>
    </w:p>
    <w:p>
      <w:pPr>
        <w:spacing w:after="140" w:line="320"/>
        <w:jc w:val="both"/>
      </w:pPr>
      <w:r>
        <w:rPr>
          <w:rFonts w:ascii="Arial" w:cs="Arial" w:eastAsia="Arial" w:hAnsi="Arial"/>
          <w:b w:val="false"/>
          <w:bCs w:val="false"/>
          <w:i w:val="false"/>
          <w:iCs w:val="false"/>
          <w:color w:val="2C2C2A"/>
          <w:sz w:val="22"/>
          <w:szCs w:val="22"/>
        </w:rPr>
        <w:t xml:space="preserve">Entities that are registered within a narrow time window of a relevant procurement tender announcement and then bid on that tender are a high-signal pattern. The detector cross-references entity registration dates with ARMP’s tender publication timeline, surfacing cases where registration occurred within thirty days of tender publication and the entity subsequently bid. This is a structural anomaly because legitimate businesses are usually incorporated for ongoing commercial activity, not bespoke for a single tender. Tier B reasoning is not required for this detector; the pattern is deterministic.</w:t>
      </w:r>
    </w:p>
    <w:p>
      <w:pPr>
        <w:pStyle w:val="Heading3"/>
        <w:spacing w:after="120" w:before="240"/>
      </w:pPr>
      <w:r>
        <w:rPr>
          <w:rFonts w:ascii="Arial" w:cs="Arial" w:eastAsia="Arial" w:hAnsi="Arial"/>
          <w:b/>
          <w:bCs/>
          <w:color w:val="1A1A1A"/>
          <w:sz w:val="24"/>
          <w:szCs w:val="24"/>
        </w:rPr>
        <w:t xml:space="preserve">Signature 6 — Circular ownership</w:t>
      </w:r>
    </w:p>
    <w:p>
      <w:pPr>
        <w:spacing w:after="140" w:line="320"/>
        <w:jc w:val="both"/>
      </w:pPr>
      <w:r>
        <w:rPr>
          <w:rFonts w:ascii="Arial" w:cs="Arial" w:eastAsia="Arial" w:hAnsi="Arial"/>
          <w:b w:val="false"/>
          <w:bCs w:val="false"/>
          <w:i w:val="false"/>
          <w:iCs w:val="false"/>
          <w:color w:val="2C2C2A"/>
          <w:sz w:val="22"/>
          <w:szCs w:val="22"/>
        </w:rPr>
        <w:t xml:space="preserve">Circular ownership structures — Entity A owns Entity B owns Entity C owns Entity A — cannot represent genuine beneficial ownership and are usually evidence of concealment. The detector uses Neo4j’s native cycle detection over the projected ownership graph, surfacing every cycle of length up to ten. Cycles are deterministic structural anomalies; every detected cycle is escalated.</w:t>
      </w:r>
    </w:p>
    <w:p>
      <w:pPr>
        <w:pStyle w:val="Heading3"/>
        <w:spacing w:after="120" w:before="240"/>
      </w:pPr>
      <w:r>
        <w:rPr>
          <w:rFonts w:ascii="Arial" w:cs="Arial" w:eastAsia="Arial" w:hAnsi="Arial"/>
          <w:b/>
          <w:bCs/>
          <w:color w:val="1A1A1A"/>
          <w:sz w:val="24"/>
          <w:szCs w:val="24"/>
        </w:rPr>
        <w:t xml:space="preserve">Signature 7 — Strawman patterns</w:t>
      </w:r>
    </w:p>
    <w:p>
      <w:pPr>
        <w:spacing w:after="140" w:line="320"/>
        <w:jc w:val="both"/>
      </w:pPr>
      <w:r>
        <w:rPr>
          <w:rFonts w:ascii="Arial" w:cs="Arial" w:eastAsia="Arial" w:hAnsi="Arial"/>
          <w:b w:val="false"/>
          <w:bCs w:val="false"/>
          <w:i w:val="false"/>
          <w:iCs w:val="false"/>
          <w:color w:val="2C2C2A"/>
          <w:sz w:val="22"/>
          <w:szCs w:val="22"/>
        </w:rPr>
        <w:t xml:space="preserve">This signature is a supervised classifier trained on the historical record of confirmed front-person declarations. The training labels are derived from confirmed findings by ANIF, CONAC, TCS, and judicial authorities, which feed back as labelled data. The classifier is a gradient-boosted decision-tree ensemble (LightGBM) with features derived from the declared person’s profile, the entity’s profile, the relationships in the ownership graph, and the temporal patterns of registration and modification. Tier B reasoning is invoked for ambiguous classifications. The classifier improves over time as the labelled training set accumulates; the first eighteen months of operation will rely on the other seven signatures and on the deterministic features that do not require historical training data.</w:t>
      </w:r>
    </w:p>
    <w:p>
      <w:pPr>
        <w:pStyle w:val="Heading3"/>
        <w:spacing w:after="120" w:before="240"/>
      </w:pPr>
      <w:r>
        <w:rPr>
          <w:rFonts w:ascii="Arial" w:cs="Arial" w:eastAsia="Arial" w:hAnsi="Arial"/>
          <w:b/>
          <w:bCs/>
          <w:color w:val="1A1A1A"/>
          <w:sz w:val="24"/>
          <w:szCs w:val="24"/>
        </w:rPr>
        <w:t xml:space="preserve">Signature 8 — Community detection</w:t>
      </w:r>
    </w:p>
    <w:p>
      <w:pPr>
        <w:spacing w:after="140" w:line="320"/>
        <w:jc w:val="both"/>
      </w:pPr>
      <w:r>
        <w:rPr>
          <w:rFonts w:ascii="Arial" w:cs="Arial" w:eastAsia="Arial" w:hAnsi="Arial"/>
          <w:b w:val="false"/>
          <w:bCs w:val="false"/>
          <w:i w:val="false"/>
          <w:iCs w:val="false"/>
          <w:color w:val="2C2C2A"/>
          <w:sz w:val="22"/>
          <w:szCs w:val="22"/>
        </w:rPr>
        <w:t xml:space="preserve">Community detection over the full ownership graph surfaces clusters of entities and persons that, while not directly connected through any single edge, form communities in aggregate. The detector applies the Louvain and Leiden algorithms (available in Neo4j’s Graph Data Science library) to identify communities, then evaluates each community for the presence of structural anomaly signals (community boundaries that span legitimate-business and shell-vehicle classifications, communities with disproportionate procurement participation, communities whose membership overlaps with confirmed-PEP networks). The output of this signature is not a per-declaration flag but a structural classification of clusters within the registry, which informs the Risk Service’s scoring of declarations whose declared persons are in flagged communities.</w:t>
      </w:r>
    </w:p>
    <w:p>
      <w:pPr>
        <w:pStyle w:val="Heading2"/>
        <w:spacing w:after="160" w:before="320"/>
      </w:pPr>
      <w:r>
        <w:rPr>
          <w:rFonts w:ascii="Arial" w:cs="Arial" w:eastAsia="Arial" w:hAnsi="Arial"/>
          <w:b/>
          <w:bCs/>
          <w:color w:val="1A1A1A"/>
          <w:sz w:val="28"/>
          <w:szCs w:val="28"/>
        </w:rPr>
        <w:t xml:space="preserve">Stage 7 — Cross-source triangulation</w:t>
      </w:r>
    </w:p>
    <w:p>
      <w:pPr>
        <w:spacing w:after="140" w:line="320"/>
        <w:jc w:val="both"/>
      </w:pPr>
      <w:r>
        <w:rPr>
          <w:rFonts w:ascii="Arial" w:cs="Arial" w:eastAsia="Arial" w:hAnsi="Arial"/>
          <w:b w:val="false"/>
          <w:bCs w:val="false"/>
          <w:i w:val="false"/>
          <w:iCs w:val="false"/>
          <w:color w:val="2C2C2A"/>
          <w:sz w:val="22"/>
          <w:szCs w:val="22"/>
        </w:rPr>
        <w:t xml:space="preserve">Stage 7 is the consistency check across data sources. The same declared beneficial owner ought to appear consistently across the records held by different institutions, and where they do not appear consistently, the inconsistency is itself signal.</w:t>
      </w:r>
    </w:p>
    <w:p>
      <w:pPr>
        <w:spacing w:after="140" w:line="320"/>
        <w:jc w:val="both"/>
      </w:pPr>
      <w:r>
        <w:rPr>
          <w:rFonts w:ascii="Arial" w:cs="Arial" w:eastAsia="Arial" w:hAnsi="Arial"/>
          <w:b w:val="false"/>
          <w:bCs w:val="false"/>
          <w:i w:val="false"/>
          <w:iCs w:val="false"/>
          <w:color w:val="2C2C2A"/>
          <w:sz w:val="22"/>
          <w:szCs w:val="22"/>
        </w:rPr>
        <w:t xml:space="preserve">The cross-references performed at Stage 7 include: declared BO of an entity versus ARMP bidder filings for the same entity (the named contact in the ARMP filing should be consistent with declared BO if BO is also the operational principal, or should be a documented agent); declared BO versus DGI large-taxpayer audit records where applicable; declared BO versus real-estate transfer records held by the conservation foncière system, where the BO has been a party to large real-estate transactions; declared BO versus concession holders on the sectoral cadastres for mining, forestry, and hydrocarbons; declared BO versus bank KYC re-uses where authorised under inter-institutional data-sharing arrangements; and declared BO versus the CONAC asset-declaration register where the declared BO is or has been a public official.</w:t>
      </w:r>
    </w:p>
    <w:p>
      <w:pPr>
        <w:spacing w:after="140" w:line="320"/>
        <w:jc w:val="both"/>
      </w:pPr>
      <w:r>
        <w:rPr>
          <w:rFonts w:ascii="Arial" w:cs="Arial" w:eastAsia="Arial" w:hAnsi="Arial"/>
          <w:b w:val="false"/>
          <w:bCs w:val="false"/>
          <w:i w:val="false"/>
          <w:iCs w:val="false"/>
          <w:color w:val="2C2C2A"/>
          <w:sz w:val="22"/>
          <w:szCs w:val="22"/>
        </w:rPr>
        <w:t xml:space="preserve">Inconsistencies are not by themselves disqualifying. A consistent reason for inconsistency — a person legitimately transferred their interest between dates of the cross-referenced records — is common. Tier B Claude Opus 4.7 reasoning evaluates each detected inconsistency for explanatory plausibility, and the verification analyst reviews material inconsistencies where the reasoning does not resolve them.</w:t>
      </w:r>
    </w:p>
    <w:p>
      <w:pPr>
        <w:pStyle w:val="Heading2"/>
        <w:spacing w:after="160" w:before="320"/>
      </w:pPr>
      <w:r>
        <w:rPr>
          <w:rFonts w:ascii="Arial" w:cs="Arial" w:eastAsia="Arial" w:hAnsi="Arial"/>
          <w:b/>
          <w:bCs/>
          <w:color w:val="1A1A1A"/>
          <w:sz w:val="28"/>
          <w:szCs w:val="28"/>
        </w:rPr>
        <w:t xml:space="preserve">Stage 8 — Belief-function fusion</w:t>
      </w:r>
    </w:p>
    <w:p>
      <w:pPr>
        <w:spacing w:after="140" w:line="320"/>
        <w:jc w:val="both"/>
      </w:pPr>
      <w:r>
        <w:rPr>
          <w:rFonts w:ascii="Arial" w:cs="Arial" w:eastAsia="Arial" w:hAnsi="Arial"/>
          <w:b w:val="false"/>
          <w:bCs w:val="false"/>
          <w:i w:val="false"/>
          <w:iCs w:val="false"/>
          <w:color w:val="2C2C2A"/>
          <w:sz w:val="22"/>
          <w:szCs w:val="22"/>
        </w:rPr>
        <w:t xml:space="preserve">Stage 8 fuses the evidence accumulated by Stages 2 through 7 into a pair of final scores: an authenticity score (how confident is the platform that the declared structure is true) and a risk score (assuming the declared structure is true, how high-risk is the resulting entity). The fusion uses Dempster–Shafer belief functions, also known as theory of evidence.</w:t>
      </w:r>
    </w:p>
    <w:p>
      <w:pPr>
        <w:spacing w:after="140" w:line="320"/>
        <w:jc w:val="both"/>
      </w:pPr>
      <w:r>
        <w:rPr>
          <w:rFonts w:ascii="Arial" w:cs="Arial" w:eastAsia="Arial" w:hAnsi="Arial"/>
          <w:b w:val="false"/>
          <w:bCs w:val="false"/>
          <w:i w:val="false"/>
          <w:iCs w:val="false"/>
          <w:color w:val="2C2C2A"/>
          <w:sz w:val="22"/>
          <w:szCs w:val="22"/>
        </w:rPr>
        <w:t xml:space="preserve">The choice of Dempster–Shafer over Bayesian probability is deliberate and is one of the most consequential architectural decisions in the verification engine. Bayesian probability handles the case of independent evidence well, but it requires that the absence of evidence be modelled either as a prior or as a zero-update, both of which produce pathological behaviour in adversarial verification.</w:t>
      </w:r>
    </w:p>
    <w:p>
      <w:pPr>
        <w:spacing w:after="140" w:line="320"/>
        <w:jc w:val="both"/>
      </w:pPr>
      <w:r>
        <w:rPr>
          <w:rFonts w:ascii="Arial" w:cs="Arial" w:eastAsia="Arial" w:hAnsi="Arial"/>
          <w:b w:val="false"/>
          <w:bCs w:val="false"/>
          <w:i w:val="false"/>
          <w:iCs w:val="false"/>
          <w:color w:val="2C2C2A"/>
          <w:sz w:val="22"/>
          <w:szCs w:val="22"/>
        </w:rPr>
        <w:t xml:space="preserve">In a verification system, the dominant epistemic state for any given declaration is that several stages produce weak positive evidence, no stage produces direct negative evidence, and the system must decide how much to weight the absence of negative evidence. Bayesian probability forces the modeller to specify a prior — either trusting or untrusting — that the modeller cannot defensibly justify. Dempster–Shafer permits the modeller to represent ignorance explicitly: the basic probability assignment can place mass on the ignorance set rather than on either the hypothesis or its negation, and Dempster’s rule of combination correctly propagates ignorance through the fusion. The resulting authenticity score is bounded below by belief and above by plausibility, with the gap between belief and plausibility encoding the residual ignorance. This representation is operationally important because it tells the verification analyst not only what the system thinks but also how confident it is in what it thinks, which is the difference between an actionable score and a misleading one.</w:t>
      </w:r>
    </w:p>
    <w:p>
      <w:pPr>
        <w:spacing w:after="140" w:line="320"/>
        <w:jc w:val="both"/>
      </w:pPr>
      <w:r>
        <w:rPr>
          <w:rFonts w:ascii="Arial" w:cs="Arial" w:eastAsia="Arial" w:hAnsi="Arial"/>
          <w:b w:val="false"/>
          <w:bCs w:val="false"/>
          <w:i w:val="false"/>
          <w:iCs w:val="false"/>
          <w:color w:val="2C2C2A"/>
          <w:sz w:val="22"/>
          <w:szCs w:val="22"/>
        </w:rPr>
        <w:t xml:space="preserve">Implementation uses a dedicated belief-function library audited for correctness against the published reference implementations. The basic probability assignments per stage are calibrated empirically against the historical record of confirmed-true and confirmed-false declarations once such a record exists; in the first eighteen months of operation, calibration is by expert elicitation from the verification analyst team and the consortium’s technical advisors.</w:t>
      </w:r>
    </w:p>
    <w:p>
      <w:pPr>
        <w:pStyle w:val="Heading2"/>
        <w:spacing w:after="160" w:before="320"/>
      </w:pPr>
      <w:r>
        <w:rPr>
          <w:rFonts w:ascii="Arial" w:cs="Arial" w:eastAsia="Arial" w:hAnsi="Arial"/>
          <w:b/>
          <w:bCs/>
          <w:color w:val="1A1A1A"/>
          <w:sz w:val="28"/>
          <w:szCs w:val="28"/>
        </w:rPr>
        <w:t xml:space="preserve">Stage 9 — Lane routing</w:t>
      </w:r>
    </w:p>
    <w:p>
      <w:pPr>
        <w:spacing w:after="140" w:line="320"/>
        <w:jc w:val="both"/>
      </w:pPr>
      <w:r>
        <w:rPr>
          <w:rFonts w:ascii="Arial" w:cs="Arial" w:eastAsia="Arial" w:hAnsi="Arial"/>
          <w:b w:val="false"/>
          <w:bCs w:val="false"/>
          <w:i w:val="false"/>
          <w:iCs w:val="false"/>
          <w:color w:val="2C2C2A"/>
          <w:sz w:val="22"/>
          <w:szCs w:val="22"/>
        </w:rPr>
        <w:t xml:space="preserve">Stage 9 takes the authenticity and risk scores from Stage 8 and routes the declaration to one of three outcome lanes.</w:t>
      </w:r>
    </w:p>
    <w:p>
      <w:pPr>
        <w:pStyle w:val="ListParagraph"/>
        <w:numPr>
          <w:ilvl w:val="0"/>
          <w:numId w:val="2"/>
        </w:numPr>
        <w:spacing w:after="100" w:line="300"/>
      </w:pPr>
      <w:r>
        <w:rPr>
          <w:rFonts w:ascii="Arial" w:cs="Arial" w:eastAsia="Arial" w:hAnsi="Arial"/>
          <w:b/>
          <w:bCs/>
          <w:color w:val="1A1A1A"/>
          <w:sz w:val="22"/>
          <w:szCs w:val="22"/>
        </w:rPr>
        <w:t xml:space="preserve">Green lane. </w:t>
      </w:r>
      <w:r>
        <w:rPr>
          <w:rFonts w:ascii="Arial" w:cs="Arial" w:eastAsia="Arial" w:hAnsi="Arial"/>
          <w:color w:val="2C2C2A"/>
          <w:sz w:val="22"/>
          <w:szCs w:val="22"/>
        </w:rPr>
        <w:t xml:space="preserve">Authenticity score above the green threshold and risk score below the green threshold. The declaration is auto-accepted, written through the Declaration Service, projected into the Ownership Service, ledger-anchored, and served to consumers. The outcome event is published to the audit topic and to the consumer-integration topic. Approximately 75 to 85 percent of declarations are expected to route through the green lane in steady-state operation, although the proportion is calibrated against the actual observed distribution.</w:t>
      </w:r>
    </w:p>
    <w:p>
      <w:pPr>
        <w:pStyle w:val="ListParagraph"/>
        <w:numPr>
          <w:ilvl w:val="0"/>
          <w:numId w:val="2"/>
        </w:numPr>
        <w:spacing w:after="100" w:line="300"/>
      </w:pPr>
      <w:r>
        <w:rPr>
          <w:rFonts w:ascii="Arial" w:cs="Arial" w:eastAsia="Arial" w:hAnsi="Arial"/>
          <w:b/>
          <w:bCs/>
          <w:color w:val="1A1A1A"/>
          <w:sz w:val="22"/>
          <w:szCs w:val="22"/>
        </w:rPr>
        <w:t xml:space="preserve">Yellow lane. </w:t>
      </w:r>
      <w:r>
        <w:rPr>
          <w:rFonts w:ascii="Arial" w:cs="Arial" w:eastAsia="Arial" w:hAnsi="Arial"/>
          <w:color w:val="2C2C2A"/>
          <w:sz w:val="22"/>
          <w:szCs w:val="22"/>
        </w:rPr>
        <w:t xml:space="preserve">Authenticity score below the green threshold, or risk score above the green threshold but below the red threshold. The declaration is held for human review with structured red-flag presentation to a verification analyst. The analyst reviews the surfaced evidence and either confirms acceptance (with documented rationale), routes to red lane for investigation, or returns to the declarant with a request for additional information.</w:t>
      </w:r>
    </w:p>
    <w:p>
      <w:pPr>
        <w:pStyle w:val="ListParagraph"/>
        <w:numPr>
          <w:ilvl w:val="0"/>
          <w:numId w:val="2"/>
        </w:numPr>
        <w:spacing w:after="100" w:line="300"/>
      </w:pPr>
      <w:r>
        <w:rPr>
          <w:rFonts w:ascii="Arial" w:cs="Arial" w:eastAsia="Arial" w:hAnsi="Arial"/>
          <w:b/>
          <w:bCs/>
          <w:color w:val="1A1A1A"/>
          <w:sz w:val="22"/>
          <w:szCs w:val="22"/>
        </w:rPr>
        <w:t xml:space="preserve">Red lane. </w:t>
      </w:r>
      <w:r>
        <w:rPr>
          <w:rFonts w:ascii="Arial" w:cs="Arial" w:eastAsia="Arial" w:hAnsi="Arial"/>
          <w:color w:val="2C2C2A"/>
          <w:sz w:val="22"/>
          <w:szCs w:val="22"/>
        </w:rPr>
        <w:t xml:space="preserve">Authenticity score below the red threshold, or risk score above the red threshold, or any high-severity flag from Stages 3 through 7 (confirmed sanctions match, confirmed cycle, confirmed concentration anomaly above the hard threshold). The declaration is provisionally rejected and routed to the Investigation Workflow in Temporal, which opens an investigation case and triggers downstream notifications. The provisional rejection is reviewable; the investigation outcome determines the final disposition.</w:t>
      </w:r>
    </w:p>
    <w:p>
      <w:pPr>
        <w:spacing w:after="140" w:line="320"/>
        <w:jc w:val="both"/>
      </w:pPr>
      <w:r>
        <w:rPr>
          <w:rFonts w:ascii="Arial" w:cs="Arial" w:eastAsia="Arial" w:hAnsi="Arial"/>
          <w:b w:val="false"/>
          <w:bCs w:val="false"/>
          <w:i w:val="false"/>
          <w:iCs w:val="false"/>
          <w:color w:val="2C2C2A"/>
          <w:sz w:val="22"/>
          <w:szCs w:val="22"/>
        </w:rPr>
        <w:t xml:space="preserve">Lane decisions are themselves cryptographically signed by the platform’s lane-decision key and anchored in the audit channel of the Fabric ledger together with the structured evidence references. This is the integrity property that permits any later review of a lane decision to verify that the decision was based on the evidence as it stood at the time of decision, not as it was reconstructed afterwards.</w:t>
      </w:r>
    </w:p>
    <w:p>
      <w:pPr>
        <w:pStyle w:val="Heading2"/>
        <w:spacing w:after="160" w:before="320"/>
      </w:pPr>
      <w:r>
        <w:rPr>
          <w:rFonts w:ascii="Arial" w:cs="Arial" w:eastAsia="Arial" w:hAnsi="Arial"/>
          <w:b/>
          <w:bCs/>
          <w:color w:val="1A1A1A"/>
          <w:sz w:val="28"/>
          <w:szCs w:val="28"/>
        </w:rPr>
        <w:t xml:space="preserve">AI tier routing within the engine</w:t>
      </w:r>
    </w:p>
    <w:p>
      <w:pPr>
        <w:spacing w:after="140" w:line="320"/>
        <w:jc w:val="both"/>
      </w:pPr>
      <w:r>
        <w:rPr>
          <w:rFonts w:ascii="Arial" w:cs="Arial" w:eastAsia="Arial" w:hAnsi="Arial"/>
          <w:b w:val="false"/>
          <w:bCs w:val="false"/>
          <w:i w:val="false"/>
          <w:iCs w:val="false"/>
          <w:color w:val="2C2C2A"/>
          <w:sz w:val="22"/>
          <w:szCs w:val="22"/>
        </w:rPr>
        <w:t xml:space="preserve">The artificial intelligence inference strategy operates within the verification engine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AI tier</w:t>
            </w:r>
          </w:p>
        </w:tc>
        <w:tc>
          <w:tcPr>
            <w:tcW w:type="dxa" w:w="5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What the model is doing</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 Schema validation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Deterministic; no AI inference.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 — Identity authentication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Deterministic lookups against authoritative systems.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 — Sanctions screening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A (Opus 4.7 public)</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Reasoning over ambiguous fuzzy matches between declared persons and sanctions-list entries. Public data.</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 — PEP screening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A (Opus 4.7 public)</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Reasoning over ambiguous matches and PEP-status determination. Public data plus consortium-maintained PEP register.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 Adverse media</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A (Opus 4.7 public)</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Retrieval-augmented reasoning over news corpora and ICIJ archives. Public data.</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 — Pattern detection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B (Opus 4.7 on Bedrock)</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Reasoning over wealth-profile mismatch, address clustering, notary clustering with pseudonymised declarant data. Cross-declaration reasoning.</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 — Cross-source triangulation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B (Opus 4.7 on Bedrock)</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Reasoning over inconsistencies between declared BO and cross-referenced records with pseudonymised personal data.</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 — Belief fusion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None at the fusion step; Tier C (sovereign LLM) for evidence-package summarisation</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mathematical fusion is deterministic. The evidence-package summarisation that produces the analyst-facing brief uses Tier C with raw PII.</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 — Lane routing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None</w:t>
            </w:r>
          </w:p>
        </w:tc>
        <w:tc>
          <w:tcPr>
            <w:tcW w:type="dxa" w:w="5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Deterministic threshold logic over fusion outputs.</w:t>
            </w:r>
          </w:p>
        </w:tc>
      </w:tr>
    </w:tbl>
    <w:p>
      <w:pPr>
        <w:spacing w:after="140" w:line="320"/>
        <w:jc w:val="both"/>
      </w:pPr>
      <w:r>
        <w:rPr>
          <w:rFonts w:ascii="Arial" w:cs="Arial" w:eastAsia="Arial" w:hAnsi="Arial"/>
          <w:b w:val="false"/>
          <w:bCs w:val="false"/>
          <w:i w:val="false"/>
          <w:iCs w:val="false"/>
          <w:color w:val="2C2C2A"/>
          <w:sz w:val="22"/>
          <w:szCs w:val="22"/>
        </w:rPr>
        <w:t xml:space="preserve">Aggregate inference volume routes approximately 60% to Tier A (Anthropic public), 30% to Tier B (Anthropic via Bedrock private), and 10% to Tier C (sovereign on-premises). Approximately 90% of all inference workload thus routes to Anthropic models. The routing is enforced at the inference API gateway by data-classification tags applied at the source; a request tagged as PII-bearing cannot reach a Tier A endpoint, period. Routing decisions are themselves logged and audited as part of the platform’s compliance posture.</w:t>
      </w:r>
    </w:p>
    <w:p>
      <w:pPr>
        <w:pStyle w:val="Heading2"/>
        <w:spacing w:after="160" w:before="320"/>
      </w:pPr>
      <w:r>
        <w:rPr>
          <w:rFonts w:ascii="Arial" w:cs="Arial" w:eastAsia="Arial" w:hAnsi="Arial"/>
          <w:b/>
          <w:bCs/>
          <w:color w:val="1A1A1A"/>
          <w:sz w:val="28"/>
          <w:szCs w:val="28"/>
        </w:rPr>
        <w:t xml:space="preserve">Operational characteristics</w:t>
      </w:r>
    </w:p>
    <w:p>
      <w:pPr>
        <w:spacing w:after="140" w:line="320"/>
        <w:jc w:val="both"/>
      </w:pPr>
      <w:r>
        <w:rPr>
          <w:rFonts w:ascii="Arial" w:cs="Arial" w:eastAsia="Arial" w:hAnsi="Arial"/>
          <w:b w:val="false"/>
          <w:bCs w:val="false"/>
          <w:i w:val="false"/>
          <w:iCs w:val="false"/>
          <w:color w:val="2C2C2A"/>
          <w:sz w:val="22"/>
          <w:szCs w:val="22"/>
        </w:rPr>
        <w:t xml:space="preserve">Pipeline latency in the green-lane case (no human review required) is engineered to complete within thirty seconds from declaration submission to final ledger-anchored acceptance. Stages 1 and 2 complete in single-digit seconds. Stages 3 through 5 operate in parallel and complete in under fifteen seconds in normal load. Stages 6 and 7 operate in parallel and complete in under twenty seconds in normal load. Stages 8 and 9 complete in single-digit seconds. The Tier A and Tier B inference calls are the dominant latency contributors; the engine is configured with reasonable response timeouts and falls back to lower-capability paths if the primary path is slow.</w:t>
      </w:r>
    </w:p>
    <w:p>
      <w:pPr>
        <w:spacing w:after="140" w:line="320"/>
        <w:jc w:val="both"/>
      </w:pPr>
      <w:r>
        <w:rPr>
          <w:rFonts w:ascii="Arial" w:cs="Arial" w:eastAsia="Arial" w:hAnsi="Arial"/>
          <w:b w:val="false"/>
          <w:bCs w:val="false"/>
          <w:i w:val="false"/>
          <w:iCs w:val="false"/>
          <w:color w:val="2C2C2A"/>
          <w:sz w:val="22"/>
          <w:szCs w:val="22"/>
        </w:rPr>
        <w:t xml:space="preserve">Re-evaluation cadence: existing accepted declarations are re-evaluated daily as upstream feeds (sanctions lists, PEP databases, adverse media) refresh, and on-demand when a flagged person’s status changes elsewhere in the registry (a person added to the domestic PEP register triggers re-evaluation of all declarations naming that person). Re-evaluation that produces a material change in authenticity or risk score generates a Risk Service alert for analyst review.</w:t>
      </w:r>
    </w:p>
    <w:p>
      <w:pPr>
        <w:spacing w:after="140" w:line="320"/>
        <w:jc w:val="both"/>
      </w:pPr>
      <w:r>
        <w:rPr>
          <w:rFonts w:ascii="Arial" w:cs="Arial" w:eastAsia="Arial" w:hAnsi="Arial"/>
          <w:b w:val="false"/>
          <w:bCs w:val="false"/>
          <w:i w:val="false"/>
          <w:iCs w:val="false"/>
          <w:color w:val="2C2C2A"/>
          <w:sz w:val="22"/>
          <w:szCs w:val="22"/>
        </w:rPr>
        <w:t xml:space="preserve">The engine is engineered for graceful degradation. If any single stage’s external dependency is unavailable, the stage produces an outcome of “evidence unavailable” that is correctly fused by the Dempster–Shafer logic into elevated ignorance in the final score. If the inference layer is unavailable entirely, the deterministic stages and the rule-based components of the pattern-detection signatures continue to operate, and the inference-dependent components mark their outcomes as “inference deferred” for later re-evaluation. The engine never returns a green-lane decision on degraded evidence; in degraded mode the worst-case routing is to yellow lane with elevated analyst load.</w:t>
      </w:r>
    </w:p>
    <w:p>
      <w:pPr>
        <w:pStyle w:val="Heading1"/>
        <w:pageBreakBefore/>
        <w:spacing w:after="240" w:before="480"/>
      </w:pPr>
      <w:r>
        <w:rPr>
          <w:rFonts w:ascii="Arial" w:cs="Arial" w:eastAsia="Arial" w:hAnsi="Arial"/>
          <w:b/>
          <w:bCs/>
          <w:color w:val="1A1A1A"/>
          <w:sz w:val="36"/>
          <w:szCs w:val="36"/>
        </w:rPr>
        <w:t xml:space="preserve">Layer 4 — APIs and Integration Fabric</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4 exposes the platform’s data and operations to consumers through a small set of API surfaces, each optimised for a specific consumption pattern. The architectural commitment is that there is one production-quality API surface per consumption pattern, that the surfaces share authentication and authorisation, and that every API call is logged with consumer identity and structured request parameters for audit. The platform does not maintain bespoke per-consumer APIs; consumers conform to one of the four surfaces.</w:t>
      </w:r>
    </w:p>
    <w:p>
      <w:pPr>
        <w:pStyle w:val="Heading2"/>
        <w:spacing w:after="160" w:before="320"/>
      </w:pPr>
      <w:r>
        <w:rPr>
          <w:rFonts w:ascii="Arial" w:cs="Arial" w:eastAsia="Arial" w:hAnsi="Arial"/>
          <w:b/>
          <w:bCs/>
          <w:color w:val="1A1A1A"/>
          <w:sz w:val="28"/>
          <w:szCs w:val="28"/>
        </w:rPr>
        <w:t xml:space="preserve">API surfaces</w:t>
      </w:r>
    </w:p>
    <w:p>
      <w:pPr>
        <w:pStyle w:val="Heading3"/>
        <w:spacing w:after="120" w:before="240"/>
      </w:pPr>
      <w:r>
        <w:rPr>
          <w:rFonts w:ascii="Arial" w:cs="Arial" w:eastAsia="Arial" w:hAnsi="Arial"/>
          <w:b/>
          <w:bCs/>
          <w:color w:val="1A1A1A"/>
          <w:sz w:val="24"/>
          <w:szCs w:val="24"/>
        </w:rPr>
        <w:t xml:space="preserve">GraphQL federation</w:t>
      </w:r>
    </w:p>
    <w:p>
      <w:pPr>
        <w:spacing w:after="140" w:line="320"/>
        <w:jc w:val="both"/>
      </w:pPr>
      <w:r>
        <w:rPr>
          <w:rFonts w:ascii="Arial" w:cs="Arial" w:eastAsia="Arial" w:hAnsi="Arial"/>
          <w:b w:val="false"/>
          <w:bCs w:val="false"/>
          <w:i w:val="false"/>
          <w:iCs w:val="false"/>
          <w:color w:val="2C2C2A"/>
          <w:sz w:val="22"/>
          <w:szCs w:val="22"/>
        </w:rPr>
        <w:t xml:space="preserve">The GraphQL gateway is built on Apollo Federation and serves complex queries that traverse multiple domain services. Typical use cases include the Investigation Workbench requesting the full beneficial-ownership tree for an entity with attached risk flags, sanctions status, and PEP indicators, all in one round trip; the Officer Console requesting an entity’s declaration history with associated verification events; the analyst console requesting all entities sharing a beneficial owner with a target entity, with their procurement participation.</w:t>
      </w:r>
    </w:p>
    <w:p>
      <w:pPr>
        <w:spacing w:after="140" w:line="320"/>
        <w:jc w:val="both"/>
      </w:pPr>
      <w:r>
        <w:rPr>
          <w:rFonts w:ascii="Arial" w:cs="Arial" w:eastAsia="Arial" w:hAnsi="Arial"/>
          <w:b w:val="false"/>
          <w:bCs w:val="false"/>
          <w:i w:val="false"/>
          <w:iCs w:val="false"/>
          <w:color w:val="2C2C2A"/>
          <w:sz w:val="22"/>
          <w:szCs w:val="22"/>
        </w:rPr>
        <w:t xml:space="preserve">Each domain service in Layer 2 exposes a GraphQL subgraph that the gateway federates. Type ownership is strict: only the Entity Service owns the LegalEntity type, only the Person Service owns the NaturalPerson type, only the Declaration Service owns the Declaration type, and so on. Cross-service references are resolved via federated references rather than denormalisation. Schema evolution is governed by additive-only changes within a major version, with breaking changes versioned via a new gateway endpoint and a sunset period for the prior version.</w:t>
      </w:r>
    </w:p>
    <w:p>
      <w:pPr>
        <w:spacing w:after="140" w:line="320"/>
        <w:jc w:val="both"/>
      </w:pPr>
      <w:r>
        <w:rPr>
          <w:rFonts w:ascii="Arial" w:cs="Arial" w:eastAsia="Arial" w:hAnsi="Arial"/>
          <w:b w:val="false"/>
          <w:bCs w:val="false"/>
          <w:i w:val="false"/>
          <w:iCs w:val="false"/>
          <w:color w:val="2C2C2A"/>
          <w:sz w:val="22"/>
          <w:szCs w:val="22"/>
        </w:rPr>
        <w:t xml:space="preserve">Operational protections include query cost analysis (every query is analysed before execution and rejected if its computational cost exceeds the per-consumer budget), depth limiting (default depth limit of ten, configurable per consumer based on negotiated need), persisted queries (production consumers register their queries by hash and the gateway accepts only registered queries from those consumers, preventing query injection), and per-field rate limiting (sensitive fields such as full PEP details are rate-limited per consumer per time window).</w:t>
      </w:r>
    </w:p>
    <w:p>
      <w:pPr>
        <w:pStyle w:val="Heading3"/>
        <w:spacing w:after="120" w:before="240"/>
      </w:pPr>
      <w:r>
        <w:rPr>
          <w:rFonts w:ascii="Arial" w:cs="Arial" w:eastAsia="Arial" w:hAnsi="Arial"/>
          <w:b/>
          <w:bCs/>
          <w:color w:val="1A1A1A"/>
          <w:sz w:val="24"/>
          <w:szCs w:val="24"/>
        </w:rPr>
        <w:t xml:space="preserve">REST endpoints</w:t>
      </w:r>
    </w:p>
    <w:p>
      <w:pPr>
        <w:spacing w:after="140" w:line="320"/>
        <w:jc w:val="both"/>
      </w:pPr>
      <w:r>
        <w:rPr>
          <w:rFonts w:ascii="Arial" w:cs="Arial" w:eastAsia="Arial" w:hAnsi="Arial"/>
          <w:b w:val="false"/>
          <w:bCs w:val="false"/>
          <w:i w:val="false"/>
          <w:iCs w:val="false"/>
          <w:color w:val="2C2C2A"/>
          <w:sz w:val="22"/>
          <w:szCs w:val="22"/>
        </w:rPr>
        <w:t xml:space="preserve">REST endpoints serve high-throughput, simple-shape lookups where the flexibility of GraphQL is the wrong trade-off and a stable, fast, cacheable HTTP interface is the right one. The principal REST endpoint sets are: a KYC lookup endpoint that returns a verified beneficial-owner summary for an entity given an identifier (sub-50ms p99 latency target, called heavily by banks during account opening); a sanctions-status endpoint that returns the sanctions status of a person given an identifier; a PEP-status endpoint; and a bulk-export endpoint that returns BODS v0.4-compliant records for entities matching a filter.</w:t>
      </w:r>
    </w:p>
    <w:p>
      <w:pPr>
        <w:spacing w:after="140" w:line="320"/>
        <w:jc w:val="both"/>
      </w:pPr>
      <w:r>
        <w:rPr>
          <w:rFonts w:ascii="Arial" w:cs="Arial" w:eastAsia="Arial" w:hAnsi="Arial"/>
          <w:b w:val="false"/>
          <w:bCs w:val="false"/>
          <w:i w:val="false"/>
          <w:iCs w:val="false"/>
          <w:color w:val="2C2C2A"/>
          <w:sz w:val="22"/>
          <w:szCs w:val="22"/>
        </w:rPr>
        <w:t xml:space="preserve">REST endpoints are versioned in the URL path (v1, v2). Authentication is via mutual TLS with consumer certificates issued by the platform certificate authority, plus an authorisation bearer token issued by the platform identity provider. Response caching is aggressive at the edge for the public-tier endpoints (with appropriate cache invalidation on data update events) and disabled for restricted-tier endpoints. OpenAPI 3.1 specifications are published for every endpoint, version-controlled, and used to generate consumer client libraries in Java, Python, and TypeScript.</w:t>
      </w:r>
    </w:p>
    <w:p>
      <w:pPr>
        <w:pStyle w:val="Heading3"/>
        <w:spacing w:after="120" w:before="240"/>
      </w:pPr>
      <w:r>
        <w:rPr>
          <w:rFonts w:ascii="Arial" w:cs="Arial" w:eastAsia="Arial" w:hAnsi="Arial"/>
          <w:b/>
          <w:bCs/>
          <w:color w:val="1A1A1A"/>
          <w:sz w:val="24"/>
          <w:szCs w:val="24"/>
        </w:rPr>
        <w:t xml:space="preserve">Webhooks</w:t>
      </w:r>
    </w:p>
    <w:p>
      <w:pPr>
        <w:spacing w:after="140" w:line="320"/>
        <w:jc w:val="both"/>
      </w:pPr>
      <w:r>
        <w:rPr>
          <w:rFonts w:ascii="Arial" w:cs="Arial" w:eastAsia="Arial" w:hAnsi="Arial"/>
          <w:b w:val="false"/>
          <w:bCs w:val="false"/>
          <w:i w:val="false"/>
          <w:iCs w:val="false"/>
          <w:color w:val="2C2C2A"/>
          <w:sz w:val="22"/>
          <w:szCs w:val="22"/>
        </w:rPr>
        <w:t xml:space="preserve">Webhooks deliver real-time fanout to consumer systems that need to act on platform events. The principal webhook subscribers are: ARMP receiving a synchronous webhook call on bid submission (returning BO risk check, conflict-of-interest analysis, and sanctions screening within two seconds); ANIF receiving a webhook on every declaration acceptance and on every status change of a person under active investigation; customs receiving a webhook on customs declaration submission for sanctions screening of the declared importer or exporter.</w:t>
      </w:r>
    </w:p>
    <w:p>
      <w:pPr>
        <w:spacing w:after="140" w:line="320"/>
        <w:jc w:val="both"/>
      </w:pPr>
      <w:r>
        <w:rPr>
          <w:rFonts w:ascii="Arial" w:cs="Arial" w:eastAsia="Arial" w:hAnsi="Arial"/>
          <w:b w:val="false"/>
          <w:bCs w:val="false"/>
          <w:i w:val="false"/>
          <w:iCs w:val="false"/>
          <w:color w:val="2C2C2A"/>
          <w:sz w:val="22"/>
          <w:szCs w:val="22"/>
        </w:rPr>
        <w:t xml:space="preserve">Webhook delivery is at-least-once with idempotency keys. Subscribers must respond within the negotiated timeout (default two seconds) with a success acknowledgement, or the platform retries with exponential backoff. The architectural commitment for the high-stakes synchronous use cases is fail-closed: if the platform cannot deliver a webhook within the SLO, the consumer (ARMP, customs) is required by integration contract to hold the action rather than approving it. This is the only safe default for a verification platform; the operational consequences are negotiated with each consumer institution during integration onboarding.</w:t>
      </w:r>
    </w:p>
    <w:p>
      <w:pPr>
        <w:pStyle w:val="Heading3"/>
        <w:spacing w:after="120" w:before="240"/>
      </w:pPr>
      <w:r>
        <w:rPr>
          <w:rFonts w:ascii="Arial" w:cs="Arial" w:eastAsia="Arial" w:hAnsi="Arial"/>
          <w:b/>
          <w:bCs/>
          <w:color w:val="1A1A1A"/>
          <w:sz w:val="24"/>
          <w:szCs w:val="24"/>
        </w:rPr>
        <w:t xml:space="preserve">BODS v0.4 export</w:t>
      </w:r>
    </w:p>
    <w:p>
      <w:pPr>
        <w:spacing w:after="140" w:line="320"/>
        <w:jc w:val="both"/>
      </w:pPr>
      <w:r>
        <w:rPr>
          <w:rFonts w:ascii="Arial" w:cs="Arial" w:eastAsia="Arial" w:hAnsi="Arial"/>
          <w:b w:val="false"/>
          <w:bCs w:val="false"/>
          <w:i w:val="false"/>
          <w:iCs w:val="false"/>
          <w:color w:val="2C2C2A"/>
          <w:sz w:val="22"/>
          <w:szCs w:val="22"/>
        </w:rPr>
        <w:t xml:space="preserve">The Beneficial Ownership Data Standard version 0.4, maintained by Open Ownership, is the international standard for beneficial-ownership data interoperability. RÉCOR exports the public tier of the registry as BODS v0.4-compliant statements on a nightly schedule, with the full export consumable by Open Ownership for inclusion in international aggregations and by foreign government partners under MLAT-style cooperation arrangements. The export is structured into Person Statements, Entity Statements, and Ownership-or-Control Statements, with the platform’s canonical identifiers mapped to BODS identifier schemes. The export job runs nightly and completes for the full public tier in under four hours.</w:t>
      </w:r>
    </w:p>
    <w:p>
      <w:pPr>
        <w:pStyle w:val="Heading2"/>
        <w:spacing w:after="160" w:before="320"/>
      </w:pPr>
      <w:r>
        <w:rPr>
          <w:rFonts w:ascii="Arial" w:cs="Arial" w:eastAsia="Arial" w:hAnsi="Arial"/>
          <w:b/>
          <w:bCs/>
          <w:color w:val="1A1A1A"/>
          <w:sz w:val="28"/>
          <w:szCs w:val="28"/>
        </w:rPr>
        <w:t xml:space="preserve">Authentication and authorisation</w:t>
      </w:r>
    </w:p>
    <w:p>
      <w:pPr>
        <w:spacing w:after="140" w:line="320"/>
        <w:jc w:val="both"/>
      </w:pPr>
      <w:r>
        <w:rPr>
          <w:rFonts w:ascii="Arial" w:cs="Arial" w:eastAsia="Arial" w:hAnsi="Arial"/>
          <w:b w:val="false"/>
          <w:bCs w:val="false"/>
          <w:i w:val="false"/>
          <w:iCs w:val="false"/>
          <w:color w:val="2C2C2A"/>
          <w:sz w:val="22"/>
          <w:szCs w:val="22"/>
        </w:rPr>
        <w:t xml:space="preserve">All API access requires authentication. Consumer institutions authenticate via mutual TLS with X.509 certificates issued by the platform certificate authority, plus a bearer token issued by the platform OIDC provider scoped to the consumer’s identity. Human users (officers, investigators, administrators) authenticate via the same OIDC provider with username, password, and mandatory hardware-token second factor for restricted-tier and encrypted-tier access.</w:t>
      </w:r>
    </w:p>
    <w:p>
      <w:pPr>
        <w:spacing w:after="140" w:line="320"/>
        <w:jc w:val="both"/>
      </w:pPr>
      <w:r>
        <w:rPr>
          <w:rFonts w:ascii="Arial" w:cs="Arial" w:eastAsia="Arial" w:hAnsi="Arial"/>
          <w:b w:val="false"/>
          <w:bCs w:val="false"/>
          <w:i w:val="false"/>
          <w:iCs w:val="false"/>
          <w:color w:val="2C2C2A"/>
          <w:sz w:val="22"/>
          <w:szCs w:val="22"/>
        </w:rPr>
        <w:t xml:space="preserve">Authorisation is enforced by the Access Service (Layer 2) at every read of restricted-tier or encrypted-tier data, with policies authored in Rego and evaluated by Open Policy Agent. Authorisation decisions are themselves audit events, with allow and deny decisions logged with the input attributes that produced the decision — which is the property that permits external audit of access policy enforcement.</w:t>
      </w:r>
    </w:p>
    <w:p>
      <w:pPr>
        <w:pStyle w:val="Heading2"/>
        <w:spacing w:after="160" w:before="320"/>
      </w:pPr>
      <w:r>
        <w:rPr>
          <w:rFonts w:ascii="Arial" w:cs="Arial" w:eastAsia="Arial" w:hAnsi="Arial"/>
          <w:b/>
          <w:bCs/>
          <w:color w:val="1A1A1A"/>
          <w:sz w:val="28"/>
          <w:szCs w:val="28"/>
        </w:rPr>
        <w:t xml:space="preserve">Per-consumer rate limiting and audit</w:t>
      </w:r>
    </w:p>
    <w:p>
      <w:pPr>
        <w:spacing w:after="140" w:line="320"/>
        <w:jc w:val="both"/>
      </w:pPr>
      <w:r>
        <w:rPr>
          <w:rFonts w:ascii="Arial" w:cs="Arial" w:eastAsia="Arial" w:hAnsi="Arial"/>
          <w:b w:val="false"/>
          <w:bCs w:val="false"/>
          <w:i w:val="false"/>
          <w:iCs w:val="false"/>
          <w:color w:val="2C2C2A"/>
          <w:sz w:val="22"/>
          <w:szCs w:val="22"/>
        </w:rPr>
        <w:t xml:space="preserve">Every API consumer is subject to a per-consumer quota negotiated at integration onboarding. Quotas are enforced via Redis token-bucket rate limiters in the gateway. Quota exhaustion returns HTTP 429 with a structured Retry-After header. Quota negotiation distinguishes between read quotas (per second and per day), batch-export quotas (per day, per month), and webhook quotas (an absolute limit on the rate at which the platform will push webhooks to the consumer, which the consumer can absorb).</w:t>
      </w:r>
    </w:p>
    <w:p>
      <w:pPr>
        <w:spacing w:after="140" w:line="320"/>
        <w:jc w:val="both"/>
      </w:pPr>
      <w:r>
        <w:rPr>
          <w:rFonts w:ascii="Arial" w:cs="Arial" w:eastAsia="Arial" w:hAnsi="Arial"/>
          <w:b w:val="false"/>
          <w:bCs w:val="false"/>
          <w:i w:val="false"/>
          <w:iCs w:val="false"/>
          <w:color w:val="2C2C2A"/>
          <w:sz w:val="22"/>
          <w:szCs w:val="22"/>
        </w:rPr>
        <w:t xml:space="preserve">Every API call is logged with consumer identity, request method, request parameters (with PII redaction on logged parameters where appropriate), response status, response time, and the data tier touched. The logs are themselves audit events consumed by the Audit Service. Periodic per-consumer audit reports are generated by the Reporting Service and shared with the consumer institution, supporting transparency and enabling each consumer to verify the volume and shape of its own consumption against its own expectations.</w:t>
      </w:r>
    </w:p>
    <w:p>
      <w:pPr>
        <w:pStyle w:val="Heading2"/>
        <w:spacing w:after="160" w:before="320"/>
      </w:pPr>
      <w:r>
        <w:rPr>
          <w:rFonts w:ascii="Arial" w:cs="Arial" w:eastAsia="Arial" w:hAnsi="Arial"/>
          <w:b/>
          <w:bCs/>
          <w:color w:val="1A1A1A"/>
          <w:sz w:val="28"/>
          <w:szCs w:val="28"/>
        </w:rPr>
        <w:t xml:space="preserve">API contract governance</w:t>
      </w:r>
    </w:p>
    <w:p>
      <w:pPr>
        <w:spacing w:after="140" w:line="320"/>
        <w:jc w:val="both"/>
      </w:pPr>
      <w:r>
        <w:rPr>
          <w:rFonts w:ascii="Arial" w:cs="Arial" w:eastAsia="Arial" w:hAnsi="Arial"/>
          <w:b w:val="false"/>
          <w:bCs w:val="false"/>
          <w:i w:val="false"/>
          <w:iCs w:val="false"/>
          <w:color w:val="2C2C2A"/>
          <w:sz w:val="22"/>
          <w:szCs w:val="22"/>
        </w:rPr>
        <w:t xml:space="preserve">API contracts are governed by the consortium. Material changes to API contracts — breaking changes, new endpoints, changes to authorisation requirements — require formal change-request review with consumer institutional sign-off before deployment. Non-breaking additive changes (new optional fields, new endpoints additional to existing ones) are governed by the platform team but published in advance through a public changelog. The contract review process is itself documented and version-controlled in the platform’s public technical roadmap.</w:t>
      </w:r>
    </w:p>
    <w:p>
      <w:pPr>
        <w:pStyle w:val="Heading1"/>
        <w:pageBreakBefore/>
        <w:spacing w:after="240" w:before="480"/>
      </w:pPr>
      <w:r>
        <w:rPr>
          <w:rFonts w:ascii="Arial" w:cs="Arial" w:eastAsia="Arial" w:hAnsi="Arial"/>
          <w:b/>
          <w:bCs/>
          <w:color w:val="1A1A1A"/>
          <w:sz w:val="36"/>
          <w:szCs w:val="36"/>
        </w:rPr>
        <w:t xml:space="preserve">Layer 5 — Consumer Integrations</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5 implements eight contractual integrations with named institutional consumers. The architectural commitment is that each integration is a documented contract — not a best-effort accommodation — with negotiated service-level objectives, fail-closed semantics on consequential actions, and per-integration audit and reconciliation. The platform’s usefulness is materially proportional to the operational quality of these integrations; the most architecturally elegant registry that does not feed actionable data into the eight institutions documented here is operationally inert.</w:t>
      </w:r>
    </w:p>
    <w:p>
      <w:pPr>
        <w:pStyle w:val="Heading2"/>
        <w:spacing w:after="160" w:before="320"/>
      </w:pPr>
      <w:r>
        <w:rPr>
          <w:rFonts w:ascii="Arial" w:cs="Arial" w:eastAsia="Arial" w:hAnsi="Arial"/>
          <w:b/>
          <w:bCs/>
          <w:color w:val="1A1A1A"/>
          <w:sz w:val="28"/>
          <w:szCs w:val="28"/>
        </w:rPr>
        <w:t xml:space="preserve">Integration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Consumer</w:t>
            </w:r>
          </w:p>
        </w:tc>
        <w:tc>
          <w:tcPr>
            <w:tcW w:type="dxa" w:w="2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Pattern</w:t>
            </w:r>
          </w:p>
        </w:tc>
        <w:tc>
          <w:tcPr>
            <w:tcW w:type="dxa" w:w="4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Service-level objective</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 procurement portal</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Synchronous webhook on bid submission</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Webhook response in p99 &lt; 2 seconds; fail-closed on timeout (bid held)</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via goAML</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Bidirectional: enrichment feed to goAML; investigation outcomes back as labelled data</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Enrichment latency p99 &lt; 5 seconds; outcome ingestion within 24h</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 — tax administration</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Bulk daily diff for transfer pricing; on-demand lookup during audits</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Bulk export complete by 06:00 daily; on-demand p99 &lt; 1 second</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 and banks — KYC API</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 endpoint for verified BO lookup</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p99 &lt; 50ms; 99.95% availability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Customs — ASYCUDA</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Synchronous webhook on customs declaration submission</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Webhook response p99 &lt; 3 seconds; fail-closed on sanctions hit</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Sectoral cadastres</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Nightly reconciliation; on-demand lookup</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Reconciliation complete by 04:00 daily</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CONAC — asset declarations</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Bidirectional cross-reference of public-official asset declarations and BO records</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Daily reconciliation; on-demand p99 &lt; 2 seconds</w:t>
            </w:r>
          </w:p>
        </w:tc>
      </w:tr>
      <w:tr>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INTERPOL / StAR</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cooperation interface for cross-border BO verification</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Manual case-by-case workflow; response within 72h target</w:t>
            </w:r>
          </w:p>
        </w:tc>
      </w:tr>
    </w:tbl>
    <w:p>
      <w:pPr>
        <w:pStyle w:val="Heading2"/>
        <w:spacing w:after="160" w:before="320"/>
      </w:pPr>
      <w:r>
        <w:rPr>
          <w:rFonts w:ascii="Arial" w:cs="Arial" w:eastAsia="Arial" w:hAnsi="Arial"/>
          <w:b/>
          <w:bCs/>
          <w:color w:val="1A1A1A"/>
          <w:sz w:val="28"/>
          <w:szCs w:val="28"/>
        </w:rPr>
        <w:t xml:space="preserve">ARMP — Agence de Régulation des Marchés Publics</w:t>
      </w:r>
    </w:p>
    <w:p>
      <w:pPr>
        <w:spacing w:after="140" w:line="320"/>
        <w:jc w:val="both"/>
      </w:pPr>
      <w:r>
        <w:rPr>
          <w:rFonts w:ascii="Arial" w:cs="Arial" w:eastAsia="Arial" w:hAnsi="Arial"/>
          <w:b w:val="false"/>
          <w:bCs w:val="false"/>
          <w:i w:val="false"/>
          <w:iCs w:val="false"/>
          <w:color w:val="2C2C2A"/>
          <w:sz w:val="22"/>
          <w:szCs w:val="22"/>
        </w:rPr>
        <w:t xml:space="preserve">ARMP is the platform consumer with the highest economic value per query and the most consequential fail-closed semantics. The integration pattern is a synchronous webhook called by the ARMP procurement portal at two distinct points in the procurement workflow.</w:t>
      </w:r>
    </w:p>
    <w:p>
      <w:pPr>
        <w:spacing w:after="140" w:line="320"/>
        <w:jc w:val="both"/>
      </w:pPr>
      <w:r>
        <w:rPr>
          <w:rFonts w:ascii="Arial" w:cs="Arial" w:eastAsia="Arial" w:hAnsi="Arial"/>
          <w:b w:val="false"/>
          <w:bCs w:val="false"/>
          <w:i w:val="false"/>
          <w:iCs w:val="false"/>
          <w:color w:val="2C2C2A"/>
          <w:sz w:val="22"/>
          <w:szCs w:val="22"/>
        </w:rPr>
        <w:t xml:space="preserve">First call: bid submission. When a bidder submits a bid on a tender published through the ARMP portal, the portal calls the RÉCOR webhook with the bidding entity’s identifier and the tender reference. RÉCOR returns within two seconds the bidder’s verified beneficial-ownership chain, the sanctions status of every beneficial owner, the PEP status of every beneficial owner, and the conflict-of-interest analysis against the tender’s awarding authority. The conflict-of-interest analysis is the highest-value computation in this integration: it surfaces the cases where the bidder is beneficially owned by a relative or business associate of the official authorising the tender, the official chairing the evaluation committee, or the official with subsequent contract-management authority.</w:t>
      </w:r>
    </w:p>
    <w:p>
      <w:pPr>
        <w:spacing w:after="140" w:line="320"/>
        <w:jc w:val="both"/>
      </w:pPr>
      <w:r>
        <w:rPr>
          <w:rFonts w:ascii="Arial" w:cs="Arial" w:eastAsia="Arial" w:hAnsi="Arial"/>
          <w:b w:val="false"/>
          <w:bCs w:val="false"/>
          <w:i w:val="false"/>
          <w:iCs w:val="false"/>
          <w:color w:val="2C2C2A"/>
          <w:sz w:val="22"/>
          <w:szCs w:val="22"/>
        </w:rPr>
        <w:t xml:space="preserve">Second call: before contract signature. After bid evaluation and provisional award but before contract signature, the portal calls the webhook again to verify that no material change has occurred since bid submission. This second call closes the window in which a bidder might update beneficial ownership between bid and signature to evade the first check.</w:t>
      </w:r>
    </w:p>
    <w:p>
      <w:pPr>
        <w:spacing w:after="140" w:line="320"/>
        <w:jc w:val="both"/>
      </w:pPr>
      <w:r>
        <w:rPr>
          <w:rFonts w:ascii="Arial" w:cs="Arial" w:eastAsia="Arial" w:hAnsi="Arial"/>
          <w:b w:val="false"/>
          <w:bCs w:val="false"/>
          <w:i w:val="false"/>
          <w:iCs w:val="false"/>
          <w:color w:val="2C2C2A"/>
          <w:sz w:val="22"/>
          <w:szCs w:val="22"/>
        </w:rPr>
        <w:t xml:space="preserve">Fail-closed contract: if the webhook returns a response within the SLO, ARMP proceeds with the indicated risk profile (clean responses allow award; flagged responses require review). If the webhook does not return within the SLO, ARMP’s integration contract requires holding the bid or signature pending platform recovery. This is the operational property that prevents the platform from being routed around by simply timing out queries; the integration contract makes timeouts a holding event rather than an approving event.</w:t>
      </w:r>
    </w:p>
    <w:p>
      <w:pPr>
        <w:pStyle w:val="Heading2"/>
        <w:spacing w:after="160" w:before="320"/>
      </w:pPr>
      <w:r>
        <w:rPr>
          <w:rFonts w:ascii="Arial" w:cs="Arial" w:eastAsia="Arial" w:hAnsi="Arial"/>
          <w:b/>
          <w:bCs/>
          <w:color w:val="1A1A1A"/>
          <w:sz w:val="28"/>
          <w:szCs w:val="28"/>
        </w:rPr>
        <w:t xml:space="preserve">ANIF via goAML</w:t>
      </w:r>
    </w:p>
    <w:p>
      <w:pPr>
        <w:spacing w:after="140" w:line="320"/>
        <w:jc w:val="both"/>
      </w:pPr>
      <w:r>
        <w:rPr>
          <w:rFonts w:ascii="Arial" w:cs="Arial" w:eastAsia="Arial" w:hAnsi="Arial"/>
          <w:b w:val="false"/>
          <w:bCs w:val="false"/>
          <w:i w:val="false"/>
          <w:iCs w:val="false"/>
          <w:color w:val="2C2C2A"/>
          <w:sz w:val="22"/>
          <w:szCs w:val="22"/>
        </w:rPr>
        <w:t xml:space="preserve">ANIF, the Cameroonian financial intelligence unit, operates the UNODC goAML platform for collection and analysis of suspicious transaction reports. The integration with RÉCOR has two directions.</w:t>
      </w:r>
    </w:p>
    <w:p>
      <w:pPr>
        <w:spacing w:after="140" w:line="320"/>
        <w:jc w:val="both"/>
      </w:pPr>
      <w:r>
        <w:rPr>
          <w:rFonts w:ascii="Arial" w:cs="Arial" w:eastAsia="Arial" w:hAnsi="Arial"/>
          <w:b w:val="false"/>
          <w:bCs w:val="false"/>
          <w:i w:val="false"/>
          <w:iCs w:val="false"/>
          <w:color w:val="2C2C2A"/>
          <w:sz w:val="22"/>
          <w:szCs w:val="22"/>
        </w:rPr>
        <w:t xml:space="preserve">RÉCOR-to-goAML enrichment: every STR submitted to ANIF references one or more legal entities and one or more natural persons. RÉCOR provides goAML with real-time enrichment of those entities and persons: their verified beneficial-ownership context, their risk flags, their sanctions and PEP status, and their connections through the ownership graph to other entities of interest. This enrichment is delivered through a goAML adapter that translates between RÉCOR’s native data model and goAML’s schema, ensuring that ANIF analysts work in the goAML interface they already know rather than learning a new tool.</w:t>
      </w:r>
    </w:p>
    <w:p>
      <w:pPr>
        <w:spacing w:after="140" w:line="320"/>
        <w:jc w:val="both"/>
      </w:pPr>
      <w:r>
        <w:rPr>
          <w:rFonts w:ascii="Arial" w:cs="Arial" w:eastAsia="Arial" w:hAnsi="Arial"/>
          <w:b w:val="false"/>
          <w:bCs w:val="false"/>
          <w:i w:val="false"/>
          <w:iCs w:val="false"/>
          <w:color w:val="2C2C2A"/>
          <w:sz w:val="22"/>
          <w:szCs w:val="22"/>
        </w:rPr>
        <w:t xml:space="preserve">goAML-to-RÉCOR feedback: confirmed findings from ANIF investigations — confirmed laundering, confirmed beneficial-control misdeclaration, confirmed sanctions evasion — feed back as labelled training data for the supervised pattern-detection signature (Signature 7 — strawman patterns). This is the structural property that permits the verification engine to improve over operational time as the labelled training set accumulates; without this feedback, the supervised classifier would remain calibrated to the platform’s launch-time estimates indefinitely.</w:t>
      </w:r>
    </w:p>
    <w:p>
      <w:pPr>
        <w:pStyle w:val="Heading2"/>
        <w:spacing w:after="160" w:before="320"/>
      </w:pPr>
      <w:r>
        <w:rPr>
          <w:rFonts w:ascii="Arial" w:cs="Arial" w:eastAsia="Arial" w:hAnsi="Arial"/>
          <w:b/>
          <w:bCs/>
          <w:color w:val="1A1A1A"/>
          <w:sz w:val="28"/>
          <w:szCs w:val="28"/>
        </w:rPr>
        <w:t xml:space="preserve">DGI — Direction Générale des Impôts</w:t>
      </w:r>
    </w:p>
    <w:p>
      <w:pPr>
        <w:spacing w:after="140" w:line="320"/>
        <w:jc w:val="both"/>
      </w:pPr>
      <w:r>
        <w:rPr>
          <w:rFonts w:ascii="Arial" w:cs="Arial" w:eastAsia="Arial" w:hAnsi="Arial"/>
          <w:b w:val="false"/>
          <w:bCs w:val="false"/>
          <w:i w:val="false"/>
          <w:iCs w:val="false"/>
          <w:color w:val="2C2C2A"/>
          <w:sz w:val="22"/>
          <w:szCs w:val="22"/>
        </w:rPr>
        <w:t xml:space="preserve">The DGI integration serves two distinct workflows. The bulk daily diff exports to DGI a daily file containing all entities whose declared beneficial ownership materially changed in the preceding 24 hours, together with all newly-detected pairs of entities sharing beneficial ownership where one or both entities trade with the other (a transfer-pricing risk signal). DGI’s large-taxpayer audit team consumes this file to prioritise audit targets.</w:t>
      </w:r>
    </w:p>
    <w:p>
      <w:pPr>
        <w:spacing w:after="140" w:line="320"/>
        <w:jc w:val="both"/>
      </w:pPr>
      <w:r>
        <w:rPr>
          <w:rFonts w:ascii="Arial" w:cs="Arial" w:eastAsia="Arial" w:hAnsi="Arial"/>
          <w:b w:val="false"/>
          <w:bCs w:val="false"/>
          <w:i w:val="false"/>
          <w:iCs w:val="false"/>
          <w:color w:val="2C2C2A"/>
          <w:sz w:val="22"/>
          <w:szCs w:val="22"/>
        </w:rPr>
        <w:t xml:space="preserve">The on-demand lookup endpoint serves DGI auditors during active large-taxpayer audits. An auditor working an audit case can query for the full beneficial-ownership context of the entity under audit, including connected entities and their relationships, in real time. The endpoint operates under DGI-specific authorisation: the auditor must be authenticated, must have an active assigned audit case, and the queried entity must be within the scope of that case. These authorisation conditions are encoded as Rego policy and enforced at the Access Service.</w:t>
      </w:r>
    </w:p>
    <w:p>
      <w:pPr>
        <w:pStyle w:val="Heading2"/>
        <w:spacing w:after="160" w:before="320"/>
      </w:pPr>
      <w:r>
        <w:rPr>
          <w:rFonts w:ascii="Arial" w:cs="Arial" w:eastAsia="Arial" w:hAnsi="Arial"/>
          <w:b/>
          <w:bCs/>
          <w:color w:val="1A1A1A"/>
          <w:sz w:val="28"/>
          <w:szCs w:val="28"/>
        </w:rPr>
        <w:t xml:space="preserve">BEAC and the Cameroonian banking sector</w:t>
      </w:r>
    </w:p>
    <w:p>
      <w:pPr>
        <w:spacing w:after="140" w:line="320"/>
        <w:jc w:val="both"/>
      </w:pPr>
      <w:r>
        <w:rPr>
          <w:rFonts w:ascii="Arial" w:cs="Arial" w:eastAsia="Arial" w:hAnsi="Arial"/>
          <w:b w:val="false"/>
          <w:bCs w:val="false"/>
          <w:i w:val="false"/>
          <w:iCs w:val="false"/>
          <w:color w:val="2C2C2A"/>
          <w:sz w:val="22"/>
          <w:szCs w:val="22"/>
        </w:rPr>
        <w:t xml:space="preserve">BEAC, the Central African States Bank, is the central bank covering Cameroon and the other CEMAC member states. The integration with BEAC operates at two levels.</w:t>
      </w:r>
    </w:p>
    <w:p>
      <w:pPr>
        <w:spacing w:after="140" w:line="320"/>
        <w:jc w:val="both"/>
      </w:pPr>
      <w:r>
        <w:rPr>
          <w:rFonts w:ascii="Arial" w:cs="Arial" w:eastAsia="Arial" w:hAnsi="Arial"/>
          <w:b w:val="false"/>
          <w:bCs w:val="false"/>
          <w:i w:val="false"/>
          <w:iCs w:val="false"/>
          <w:color w:val="2C2C2A"/>
          <w:sz w:val="22"/>
          <w:szCs w:val="22"/>
        </w:rPr>
        <w:t xml:space="preserve">BEAC-level: the central bank consumes the registry for its supervisory function over the Cameroonian banking system. BEAC supervisors receive periodic compliance reports on bank adherence to enhanced-due-diligence obligations on PEP and high-risk customers, drawn from the registry’s record of bank queries and the outcomes.</w:t>
      </w:r>
    </w:p>
    <w:p>
      <w:pPr>
        <w:spacing w:after="140" w:line="320"/>
        <w:jc w:val="both"/>
      </w:pPr>
      <w:r>
        <w:rPr>
          <w:rFonts w:ascii="Arial" w:cs="Arial" w:eastAsia="Arial" w:hAnsi="Arial"/>
          <w:b w:val="false"/>
          <w:bCs w:val="false"/>
          <w:i w:val="false"/>
          <w:iCs w:val="false"/>
          <w:color w:val="2C2C2A"/>
          <w:sz w:val="22"/>
          <w:szCs w:val="22"/>
        </w:rPr>
        <w:t xml:space="preserve">Bank-level: individual Cameroonian banks consume the registry through the KYC API documented in Layer 4. The use case is account opening and ongoing customer due diligence: instead of each bank re-collecting beneficial-ownership information from its customers and verifying it against the same external sources, banks pull the verified record from RÉCOR. This integration is the principal lever for reducing the de-risking pressure on Cameroonian banks; once European correspondent banks can audit that their Cameroonian counterparts query a sovereign-grade registry rather than relying on customer self-attestation, enhanced-due-diligence costs decline materially.</w:t>
      </w:r>
    </w:p>
    <w:p>
      <w:pPr>
        <w:spacing w:after="140" w:line="320"/>
        <w:jc w:val="both"/>
      </w:pPr>
      <w:r>
        <w:rPr>
          <w:rFonts w:ascii="Arial" w:cs="Arial" w:eastAsia="Arial" w:hAnsi="Arial"/>
          <w:b w:val="false"/>
          <w:bCs w:val="false"/>
          <w:i w:val="false"/>
          <w:iCs w:val="false"/>
          <w:color w:val="2C2C2A"/>
          <w:sz w:val="22"/>
          <w:szCs w:val="22"/>
        </w:rPr>
        <w:t xml:space="preserve">Bank onboarding to the integration is gated by the bank itself satisfying the platform’s consumer-onboarding contract: identity provisioning for authorised bank KYC staff, mutual-TLS certificate provisioning for the bank’s technical interface, training on the platform’s data model and SLO commitments, and signature of the data-handling addendum to the integration contract.</w:t>
      </w:r>
    </w:p>
    <w:p>
      <w:pPr>
        <w:pStyle w:val="Heading2"/>
        <w:spacing w:after="160" w:before="320"/>
      </w:pPr>
      <w:r>
        <w:rPr>
          <w:rFonts w:ascii="Arial" w:cs="Arial" w:eastAsia="Arial" w:hAnsi="Arial"/>
          <w:b/>
          <w:bCs/>
          <w:color w:val="1A1A1A"/>
          <w:sz w:val="28"/>
          <w:szCs w:val="28"/>
        </w:rPr>
        <w:t xml:space="preserve">Customs — ASYCUDA</w:t>
      </w:r>
    </w:p>
    <w:p>
      <w:pPr>
        <w:spacing w:after="140" w:line="320"/>
        <w:jc w:val="both"/>
      </w:pPr>
      <w:r>
        <w:rPr>
          <w:rFonts w:ascii="Arial" w:cs="Arial" w:eastAsia="Arial" w:hAnsi="Arial"/>
          <w:b w:val="false"/>
          <w:bCs w:val="false"/>
          <w:i w:val="false"/>
          <w:iCs w:val="false"/>
          <w:color w:val="2C2C2A"/>
          <w:sz w:val="22"/>
          <w:szCs w:val="22"/>
        </w:rPr>
        <w:t xml:space="preserve">The Cameroonian customs administration operates ASYCUDAWorld for customs declaration processing. The integration with RÉCOR is a synchronous webhook fired on customs declaration submission, returning sanctions screening of the declared importer and exporter.</w:t>
      </w:r>
    </w:p>
    <w:p>
      <w:pPr>
        <w:spacing w:after="140" w:line="320"/>
        <w:jc w:val="both"/>
      </w:pPr>
      <w:r>
        <w:rPr>
          <w:rFonts w:ascii="Arial" w:cs="Arial" w:eastAsia="Arial" w:hAnsi="Arial"/>
          <w:b w:val="false"/>
          <w:bCs w:val="false"/>
          <w:i w:val="false"/>
          <w:iCs w:val="false"/>
          <w:color w:val="2C2C2A"/>
          <w:sz w:val="22"/>
          <w:szCs w:val="22"/>
        </w:rPr>
        <w:t xml:space="preserve">Fail-closed contract: a sanctions hit on the declared importer or exporter triggers a customs hold pending review, with the hold communicated back to the customs officer through ASYCUDA’s native interface. This is the operational property that prevents sanctioned individuals or entities from completing customs declarations using Cameroonian fronts — the failure mode visible to international counterparts and that, when documented, contributes to de-risking pressure.</w:t>
      </w:r>
    </w:p>
    <w:p>
      <w:pPr>
        <w:pStyle w:val="Heading2"/>
        <w:spacing w:after="160" w:before="320"/>
      </w:pPr>
      <w:r>
        <w:rPr>
          <w:rFonts w:ascii="Arial" w:cs="Arial" w:eastAsia="Arial" w:hAnsi="Arial"/>
          <w:b/>
          <w:bCs/>
          <w:color w:val="1A1A1A"/>
          <w:sz w:val="28"/>
          <w:szCs w:val="28"/>
        </w:rPr>
        <w:t xml:space="preserve">Sectoral cadastres — MINMIDT, MINFOF, SNH</w:t>
      </w:r>
    </w:p>
    <w:p>
      <w:pPr>
        <w:spacing w:after="140" w:line="320"/>
        <w:jc w:val="both"/>
      </w:pPr>
      <w:r>
        <w:rPr>
          <w:rFonts w:ascii="Arial" w:cs="Arial" w:eastAsia="Arial" w:hAnsi="Arial"/>
          <w:b w:val="false"/>
          <w:bCs w:val="false"/>
          <w:i w:val="false"/>
          <w:iCs w:val="false"/>
          <w:color w:val="2C2C2A"/>
          <w:sz w:val="22"/>
          <w:szCs w:val="22"/>
        </w:rPr>
        <w:t xml:space="preserve">Three sectoral concession cadastres are integrated. MINMIDT (Ministry of Mines, Industry, and Technological Development) administers the mining cadastre. MINFOF (Ministry of Forestry and Wildlife) administers the forestry concession cadastre. SNH (Société Nationale des Hydrocarbures) administers the hydrocarbons concession register. Each of these systems holds records of concession-holding entities; the RÉCOR integration cross-references these records against declared beneficial ownership, surfacing cases where the concession-holding entity’s declared BO diverges from the cadastre’s belief about the entity’s ownership.</w:t>
      </w:r>
    </w:p>
    <w:p>
      <w:pPr>
        <w:spacing w:after="140" w:line="320"/>
        <w:jc w:val="both"/>
      </w:pPr>
      <w:r>
        <w:rPr>
          <w:rFonts w:ascii="Arial" w:cs="Arial" w:eastAsia="Arial" w:hAnsi="Arial"/>
          <w:b w:val="false"/>
          <w:bCs w:val="false"/>
          <w:i w:val="false"/>
          <w:iCs w:val="false"/>
          <w:color w:val="2C2C2A"/>
          <w:sz w:val="22"/>
          <w:szCs w:val="22"/>
        </w:rPr>
        <w:t xml:space="preserve">Nightly reconciliation: a daily job compares the registry’s BO records against the cadastres’ records for concession-holding entities and surfaces discrepancies for manual review by the consortium’s cadastre liaison team. On-demand lookup: cadastre officers issuing or renewing a concession can query RÉCOR for the verified BO of the applicant entity.</w:t>
      </w:r>
    </w:p>
    <w:p>
      <w:pPr>
        <w:pStyle w:val="Heading2"/>
        <w:spacing w:after="160" w:before="320"/>
      </w:pPr>
      <w:r>
        <w:rPr>
          <w:rFonts w:ascii="Arial" w:cs="Arial" w:eastAsia="Arial" w:hAnsi="Arial"/>
          <w:b/>
          <w:bCs/>
          <w:color w:val="1A1A1A"/>
          <w:sz w:val="28"/>
          <w:szCs w:val="28"/>
        </w:rPr>
        <w:t xml:space="preserve">CONAC — Commission Nationale Anti-Corruption</w:t>
      </w:r>
    </w:p>
    <w:p>
      <w:pPr>
        <w:spacing w:after="140" w:line="320"/>
        <w:jc w:val="both"/>
      </w:pPr>
      <w:r>
        <w:rPr>
          <w:rFonts w:ascii="Arial" w:cs="Arial" w:eastAsia="Arial" w:hAnsi="Arial"/>
          <w:b w:val="false"/>
          <w:bCs w:val="false"/>
          <w:i w:val="false"/>
          <w:iCs w:val="false"/>
          <w:color w:val="2C2C2A"/>
          <w:sz w:val="22"/>
          <w:szCs w:val="22"/>
        </w:rPr>
        <w:t xml:space="preserve">CONAC maintains the asset-declaration register for public officials. The integration with RÉCOR is a bidirectional cross-reference: public-official asset declarations are cross-referenced against the registry’s record of beneficial ownership, surfacing cases where a public official did not declare a foreign business interest that the registry shows them to beneficially own, or where the registry shows an official to beneficially own an entity that the official’s asset declaration does not mention.</w:t>
      </w:r>
    </w:p>
    <w:p>
      <w:pPr>
        <w:spacing w:after="140" w:line="320"/>
        <w:jc w:val="both"/>
      </w:pPr>
      <w:r>
        <w:rPr>
          <w:rFonts w:ascii="Arial" w:cs="Arial" w:eastAsia="Arial" w:hAnsi="Arial"/>
          <w:b w:val="false"/>
          <w:bCs w:val="false"/>
          <w:i w:val="false"/>
          <w:iCs w:val="false"/>
          <w:color w:val="2C2C2A"/>
          <w:sz w:val="22"/>
          <w:szCs w:val="22"/>
        </w:rPr>
        <w:t xml:space="preserve">This integration is the principal channel through which the registry surfaces undeclared conflicts of interest for sitting officials, including ministers, parliamentarians, generals, senior magistrates, and senior administrative officials. The political sensitivity of this integration is the highest in the platform; the encrypted-tier governance documented in Layer 0 applies in full to access decisions arising from this cross-reference.</w:t>
      </w:r>
    </w:p>
    <w:p>
      <w:pPr>
        <w:pStyle w:val="Heading2"/>
        <w:spacing w:after="160" w:before="320"/>
      </w:pPr>
      <w:r>
        <w:rPr>
          <w:rFonts w:ascii="Arial" w:cs="Arial" w:eastAsia="Arial" w:hAnsi="Arial"/>
          <w:b/>
          <w:bCs/>
          <w:color w:val="1A1A1A"/>
          <w:sz w:val="28"/>
          <w:szCs w:val="28"/>
        </w:rPr>
        <w:t xml:space="preserve">INTERPOL and StAR international cooperation</w:t>
      </w:r>
    </w:p>
    <w:p>
      <w:pPr>
        <w:spacing w:after="140" w:line="320"/>
        <w:jc w:val="both"/>
      </w:pPr>
      <w:r>
        <w:rPr>
          <w:rFonts w:ascii="Arial" w:cs="Arial" w:eastAsia="Arial" w:hAnsi="Arial"/>
          <w:b w:val="false"/>
          <w:bCs w:val="false"/>
          <w:i w:val="false"/>
          <w:iCs w:val="false"/>
          <w:color w:val="2C2C2A"/>
          <w:sz w:val="22"/>
          <w:szCs w:val="22"/>
        </w:rPr>
        <w:t xml:space="preserve">The final integration set is international cooperation. INTERPOL’s I-24/7 channel is the standard secure communication infrastructure for police-to-police cooperation; RÉCOR integrates with I-24/7 for cross-border BO verification requests received from foreign counterparts and for outbound requests where Cameroonian investigators need BO verification from foreign jurisdictions with comparable registries. The Stolen Asset Recovery Initiative (StAR) network is the World Bank–UNODC framework for asset-recovery cooperation; RÉCOR integrates with StAR for the bilateral case-by-case workflows where stolen-asset recovery investigations require verified BO context from Cameroonian records.</w:t>
      </w:r>
    </w:p>
    <w:p>
      <w:pPr>
        <w:spacing w:after="140" w:line="320"/>
        <w:jc w:val="both"/>
      </w:pPr>
      <w:r>
        <w:rPr>
          <w:rFonts w:ascii="Arial" w:cs="Arial" w:eastAsia="Arial" w:hAnsi="Arial"/>
          <w:b w:val="false"/>
          <w:bCs w:val="false"/>
          <w:i w:val="false"/>
          <w:iCs w:val="false"/>
          <w:color w:val="2C2C2A"/>
          <w:sz w:val="22"/>
          <w:szCs w:val="22"/>
        </w:rPr>
        <w:t xml:space="preserve">These integrations operate as case-by-case workflows rather than as automated APIs because international cooperation operates under legal frameworks (mutual legal assistance treaties, INTERPOL constitutional provisions) that require human authorisation per request. The platform supports these workflows through structured case management in the Investigation Workbench (Layer 6).</w:t>
      </w:r>
    </w:p>
    <w:p>
      <w:pPr>
        <w:pStyle w:val="Heading1"/>
        <w:pageBreakBefore/>
        <w:spacing w:after="240" w:before="480"/>
      </w:pPr>
      <w:r>
        <w:rPr>
          <w:rFonts w:ascii="Arial" w:cs="Arial" w:eastAsia="Arial" w:hAnsi="Arial"/>
          <w:b/>
          <w:bCs/>
          <w:color w:val="1A1A1A"/>
          <w:sz w:val="36"/>
          <w:szCs w:val="36"/>
        </w:rPr>
        <w:t xml:space="preserve">Layer 6 — User-Facing Applications</w:t>
      </w:r>
    </w:p>
    <w:p>
      <w:pPr>
        <w:pStyle w:val="Heading2"/>
        <w:spacing w:after="160" w:before="320"/>
      </w:pPr>
      <w:r>
        <w:rPr>
          <w:rFonts w:ascii="Arial" w:cs="Arial" w:eastAsia="Arial" w:hAnsi="Arial"/>
          <w:b/>
          <w:bCs/>
          <w:color w:val="1A1A1A"/>
          <w:sz w:val="28"/>
          <w:szCs w:val="28"/>
        </w:rPr>
        <w:t xml:space="preserve">Purpose and architectural commitment</w:t>
      </w:r>
    </w:p>
    <w:p>
      <w:pPr>
        <w:spacing w:after="140" w:line="320"/>
        <w:jc w:val="both"/>
      </w:pPr>
      <w:r>
        <w:rPr>
          <w:rFonts w:ascii="Arial" w:cs="Arial" w:eastAsia="Arial" w:hAnsi="Arial"/>
          <w:b w:val="false"/>
          <w:bCs w:val="false"/>
          <w:i w:val="false"/>
          <w:iCs w:val="false"/>
          <w:color w:val="2C2C2A"/>
          <w:sz w:val="22"/>
          <w:szCs w:val="22"/>
        </w:rPr>
        <w:t xml:space="preserve">Layer 6 implements six role-specific applications, each designed around a single workflow with a single primary user role. The architectural commitment is that each application has one clear job, makes that job efficient for the user, and exposes only the data and operations relevant to that role. The platform deliberately avoids the single-monolithic-interface anti-pattern; the cognitive load on a bank KYC officer who needs a sub-second answer is structurally different from the cognitive load on an ANIF analyst working a six-week investigation, and forcing both into one interface degrades both.</w:t>
      </w:r>
    </w:p>
    <w:p>
      <w:pPr>
        <w:pStyle w:val="Heading2"/>
        <w:spacing w:after="160" w:before="320"/>
      </w:pPr>
      <w:r>
        <w:rPr>
          <w:rFonts w:ascii="Arial" w:cs="Arial" w:eastAsia="Arial" w:hAnsi="Arial"/>
          <w:b/>
          <w:bCs/>
          <w:color w:val="1A1A1A"/>
          <w:sz w:val="28"/>
          <w:szCs w:val="28"/>
        </w:rPr>
        <w:t xml:space="preserve">Application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Application</w:t>
            </w:r>
          </w:p>
        </w:tc>
        <w:tc>
          <w:tcPr>
            <w:tcW w:type="dxa" w:w="2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Primary users</w:t>
            </w:r>
          </w:p>
        </w:tc>
        <w:tc>
          <w:tcPr>
            <w:tcW w:type="dxa" w:w="4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Principal workflows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Company directors, corporate secretaries, accredited filing intermediaries</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Initial declaration; periodic updates; change-of-control filings; document upload</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Procurement officers, customs agents, DGI auditors, ANIF analysts, bank KYC officers</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Single-entity lookup; single-person lookup; batch lookup for case loads; evidence package export</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CONAC, TCS, and judicial police investigators</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 exploration; case management; evidence assembly; cross-reference deep dives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Citizens, journalists, civil society, foreign DD consumers</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Read-only public-tier search; BODS data download</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 Intake (.onion)</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Whistleblowers, with optional full anonymity</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Secure intake; structured evidence submission; blinded case-tracking</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Administrative Console</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Registry operators, policy administrators, consortium governance</w:t>
            </w:r>
          </w:p>
        </w:tc>
        <w:tc>
          <w:tcPr>
            <w:tcW w:type="dxa" w:w="4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Schema and policy management; audit log review; operational dashboards</w:t>
            </w:r>
          </w:p>
        </w:tc>
      </w:tr>
    </w:tbl>
    <w:p>
      <w:pPr>
        <w:pStyle w:val="Heading2"/>
        <w:spacing w:after="160" w:before="320"/>
      </w:pPr>
      <w:r>
        <w:rPr>
          <w:rFonts w:ascii="Arial" w:cs="Arial" w:eastAsia="Arial" w:hAnsi="Arial"/>
          <w:b/>
          <w:bCs/>
          <w:color w:val="1A1A1A"/>
          <w:sz w:val="28"/>
          <w:szCs w:val="28"/>
        </w:rPr>
        <w:t xml:space="preserve">Declarant Portal</w:t>
      </w:r>
    </w:p>
    <w:p>
      <w:pPr>
        <w:spacing w:after="140" w:line="320"/>
        <w:jc w:val="both"/>
      </w:pPr>
      <w:r>
        <w:rPr>
          <w:rFonts w:ascii="Arial" w:cs="Arial" w:eastAsia="Arial" w:hAnsi="Arial"/>
          <w:b w:val="false"/>
          <w:bCs w:val="false"/>
          <w:i w:val="false"/>
          <w:iCs w:val="false"/>
          <w:color w:val="2C2C2A"/>
          <w:sz w:val="22"/>
          <w:szCs w:val="22"/>
        </w:rPr>
        <w:t xml:space="preserve">The Declarant Portal is the surface through which the regulated private sector interacts with the registry. Its user experience design is politically load-bearing: if declarants experience the platform as enabling — a one-time submission with prompt feedback and clear status visibility — the platform earns private-sector goodwill; if declarants experience it as harassment — a maze of unclear requirements with arbitrary rejections — the platform earns hostility that translates into political opposition.</w:t>
      </w:r>
    </w:p>
    <w:p>
      <w:pPr>
        <w:spacing w:after="140" w:line="320"/>
        <w:jc w:val="both"/>
      </w:pPr>
      <w:r>
        <w:rPr>
          <w:rFonts w:ascii="Arial" w:cs="Arial" w:eastAsia="Arial" w:hAnsi="Arial"/>
          <w:b w:val="false"/>
          <w:bCs w:val="false"/>
          <w:i w:val="false"/>
          <w:iCs w:val="false"/>
          <w:color w:val="2C2C2A"/>
          <w:sz w:val="22"/>
          <w:szCs w:val="22"/>
        </w:rPr>
        <w:t xml:space="preserve">Principal features: a multi-step wizard for initial declaration submission that guides the declarant through entity identification, declaration of beneficial owners, identity-claim entry for each beneficial owner, supporting-document upload (with client-side preview and format validation before submission), and final cryptographic attestation. Real-time pre-submission validation against BUNEC and sanctions feeds provides feedback during the wizard, such that the most common errors (wrong CNI number, sanctioned-person match) are surfaced before submission rather than after acceptance into the verification pipeline. Plain-language guidance is provided in French (primary) and English (secondary). On submission, the declarant receives a cryptographically signed declaration receipt containing the declaration’s unique identifier and the cryptographic hash of the submitted content.</w:t>
      </w:r>
    </w:p>
    <w:p>
      <w:pPr>
        <w:spacing w:after="140" w:line="320"/>
        <w:jc w:val="both"/>
      </w:pPr>
      <w:r>
        <w:rPr>
          <w:rFonts w:ascii="Arial" w:cs="Arial" w:eastAsia="Arial" w:hAnsi="Arial"/>
          <w:b w:val="false"/>
          <w:bCs w:val="false"/>
          <w:i w:val="false"/>
          <w:iCs w:val="false"/>
          <w:color w:val="2C2C2A"/>
          <w:sz w:val="22"/>
          <w:szCs w:val="22"/>
        </w:rPr>
        <w:t xml:space="preserve">Post-submission features: the declarant can track declaration status through the verification pipeline, receive structured feedback when a declaration is held for review or rejected, respond to requests for additional information, and update the declaration on permitted change-of-control or annual-filing schedules. Each declarant has a dashboard with all declarations the declarant has submitted across all entities the declarant is authorised to file for.</w:t>
      </w:r>
    </w:p>
    <w:p>
      <w:pPr>
        <w:spacing w:after="140" w:line="320"/>
        <w:jc w:val="both"/>
      </w:pPr>
      <w:r>
        <w:rPr>
          <w:rFonts w:ascii="Arial" w:cs="Arial" w:eastAsia="Arial" w:hAnsi="Arial"/>
          <w:b w:val="false"/>
          <w:bCs w:val="false"/>
          <w:i w:val="false"/>
          <w:iCs w:val="false"/>
          <w:color w:val="2C2C2A"/>
          <w:sz w:val="22"/>
          <w:szCs w:val="22"/>
        </w:rPr>
        <w:t xml:space="preserve">The portal is mobile-responsive (a non-trivial fraction of Cameroonian declarants will access it from mobile devices) and operates over HTTPS with the certificate chain rooted in the platform certificate authority. WCAG 2.1 AA accessibility is the design target.</w:t>
      </w:r>
    </w:p>
    <w:p>
      <w:pPr>
        <w:pStyle w:val="Heading2"/>
        <w:spacing w:after="160" w:before="320"/>
      </w:pPr>
      <w:r>
        <w:rPr>
          <w:rFonts w:ascii="Arial" w:cs="Arial" w:eastAsia="Arial" w:hAnsi="Arial"/>
          <w:b/>
          <w:bCs/>
          <w:color w:val="1A1A1A"/>
          <w:sz w:val="28"/>
          <w:szCs w:val="28"/>
        </w:rPr>
        <w:t xml:space="preserve">Officer Console</w:t>
      </w:r>
    </w:p>
    <w:p>
      <w:pPr>
        <w:spacing w:after="140" w:line="320"/>
        <w:jc w:val="both"/>
      </w:pPr>
      <w:r>
        <w:rPr>
          <w:rFonts w:ascii="Arial" w:cs="Arial" w:eastAsia="Arial" w:hAnsi="Arial"/>
          <w:b w:val="false"/>
          <w:bCs w:val="false"/>
          <w:i w:val="false"/>
          <w:iCs w:val="false"/>
          <w:color w:val="2C2C2A"/>
          <w:sz w:val="22"/>
          <w:szCs w:val="22"/>
        </w:rPr>
        <w:t xml:space="preserve">The Officer Console is the surface for the operational consumers across the eight institutional integrations. Procurement officers at ARMP, customs agents at the ports, DGI auditors, ANIF analysts performing first-line triage, bank KYC officers, and CONAC analysts all use the Officer Console for routine lookups.</w:t>
      </w:r>
    </w:p>
    <w:p>
      <w:pPr>
        <w:spacing w:after="140" w:line="320"/>
        <w:jc w:val="both"/>
      </w:pPr>
      <w:r>
        <w:rPr>
          <w:rFonts w:ascii="Arial" w:cs="Arial" w:eastAsia="Arial" w:hAnsi="Arial"/>
          <w:b w:val="false"/>
          <w:bCs w:val="false"/>
          <w:i w:val="false"/>
          <w:iCs w:val="false"/>
          <w:color w:val="2C2C2A"/>
          <w:sz w:val="22"/>
          <w:szCs w:val="22"/>
        </w:rPr>
        <w:t xml:space="preserve">Role-specific summary views: the screen layout and the data presented are tailored to the role. A procurement officer doing a tender check sees the tender-aware view: bidder BO chain, conflict-of-interest analysis against the awarding authority, sanctions and PEP status of beneficial owners. A bank KYC officer sees the KYC view: verified BO record with a clear acceptance recommendation. A customs agent sees the customs view: importer or exporter sanctions screening with a clear hold-or-release indication. The underlying data is the same; the presentation is role-tailored to support the role’s decision under operational time pressure.</w:t>
      </w:r>
    </w:p>
    <w:p>
      <w:pPr>
        <w:spacing w:after="140" w:line="320"/>
        <w:jc w:val="both"/>
      </w:pPr>
      <w:r>
        <w:rPr>
          <w:rFonts w:ascii="Arial" w:cs="Arial" w:eastAsia="Arial" w:hAnsi="Arial"/>
          <w:b w:val="false"/>
          <w:bCs w:val="false"/>
          <w:i w:val="false"/>
          <w:iCs w:val="false"/>
          <w:color w:val="2C2C2A"/>
          <w:sz w:val="22"/>
          <w:szCs w:val="22"/>
        </w:rPr>
        <w:t xml:space="preserve">Single-entity lookup and single-person lookup are the dominant workflows. Batch lookup supports the case where an officer is preparing for a known case load (a procurement officer reviewing all bidders on a tender; a DGI auditor preparing for an audit against a large taxpayer). Evidence package export produces a cryptographically signed package containing the data the officer reviewed and the decisions the officer recorded, for inclusion in the institution’s administrative file.</w:t>
      </w:r>
    </w:p>
    <w:p>
      <w:pPr>
        <w:pStyle w:val="Heading2"/>
        <w:spacing w:after="160" w:before="320"/>
      </w:pPr>
      <w:r>
        <w:rPr>
          <w:rFonts w:ascii="Arial" w:cs="Arial" w:eastAsia="Arial" w:hAnsi="Arial"/>
          <w:b/>
          <w:bCs/>
          <w:color w:val="1A1A1A"/>
          <w:sz w:val="28"/>
          <w:szCs w:val="28"/>
        </w:rPr>
        <w:t xml:space="preserve">Investigation Workbench</w:t>
      </w:r>
    </w:p>
    <w:p>
      <w:pPr>
        <w:spacing w:after="140" w:line="320"/>
        <w:jc w:val="both"/>
      </w:pPr>
      <w:r>
        <w:rPr>
          <w:rFonts w:ascii="Arial" w:cs="Arial" w:eastAsia="Arial" w:hAnsi="Arial"/>
          <w:b w:val="false"/>
          <w:bCs w:val="false"/>
          <w:i w:val="false"/>
          <w:iCs w:val="false"/>
          <w:color w:val="2C2C2A"/>
          <w:sz w:val="22"/>
          <w:szCs w:val="22"/>
        </w:rPr>
        <w:t xml:space="preserve">The Investigation Workbench is the deep-dive case-management surface for ANIF, CONAC, TCS, and judicial police investigators. The intended user spends hours to days within the workbench across the lifetime of an investigation; the surface is therefore optimised for depth rather than for speed.</w:t>
      </w:r>
    </w:p>
    <w:p>
      <w:pPr>
        <w:spacing w:after="140" w:line="320"/>
        <w:jc w:val="both"/>
      </w:pPr>
      <w:r>
        <w:rPr>
          <w:rFonts w:ascii="Arial" w:cs="Arial" w:eastAsia="Arial" w:hAnsi="Arial"/>
          <w:b w:val="false"/>
          <w:bCs w:val="false"/>
          <w:i w:val="false"/>
          <w:iCs w:val="false"/>
          <w:color w:val="2C2C2A"/>
          <w:sz w:val="22"/>
          <w:szCs w:val="22"/>
        </w:rPr>
        <w:t xml:space="preserve">The principal feature set:</w:t>
      </w:r>
    </w:p>
    <w:p>
      <w:pPr>
        <w:pStyle w:val="ListParagraph"/>
        <w:numPr>
          <w:ilvl w:val="0"/>
          <w:numId w:val="2"/>
        </w:numPr>
        <w:spacing w:after="80" w:line="300"/>
      </w:pPr>
      <w:r>
        <w:rPr>
          <w:rFonts w:ascii="Arial" w:cs="Arial" w:eastAsia="Arial" w:hAnsi="Arial"/>
          <w:color w:val="2C2C2A"/>
          <w:sz w:val="22"/>
          <w:szCs w:val="22"/>
        </w:rPr>
        <w:t xml:space="preserve">Interactive graph visualisation of ownership chains. The investigator can navigate from a target entity outward through ownership relationships, inward through entities co-owned by the same person, and laterally through community-detected clusters. The visualisation is rendered with a JavaScript force-directed graph layout, with progressive disclosure (expanding the graph node by node rather than rendering the entire connected component at once).</w:t>
      </w:r>
    </w:p>
    <w:p>
      <w:pPr>
        <w:pStyle w:val="ListParagraph"/>
        <w:numPr>
          <w:ilvl w:val="0"/>
          <w:numId w:val="2"/>
        </w:numPr>
        <w:spacing w:after="80" w:line="300"/>
      </w:pPr>
      <w:r>
        <w:rPr>
          <w:rFonts w:ascii="Arial" w:cs="Arial" w:eastAsia="Arial" w:hAnsi="Arial"/>
          <w:color w:val="2C2C2A"/>
          <w:sz w:val="22"/>
          <w:szCs w:val="22"/>
        </w:rPr>
        <w:t xml:space="preserve">Time-slider for historical reconstruction. Every edge in the ownership graph carries a validity interval; the time slider allows the investigator to view the ownership structure as it stood at any point in the past, surfacing the temporal pattern of restructurings that often accompanies concealment.</w:t>
      </w:r>
    </w:p>
    <w:p>
      <w:pPr>
        <w:pStyle w:val="ListParagraph"/>
        <w:numPr>
          <w:ilvl w:val="0"/>
          <w:numId w:val="2"/>
        </w:numPr>
        <w:spacing w:after="80" w:line="300"/>
      </w:pPr>
      <w:r>
        <w:rPr>
          <w:rFonts w:ascii="Arial" w:cs="Arial" w:eastAsia="Arial" w:hAnsi="Arial"/>
          <w:color w:val="2C2C2A"/>
          <w:sz w:val="22"/>
          <w:szCs w:val="22"/>
        </w:rPr>
        <w:t xml:space="preserve">LLM-assisted query construction. The investigator can phrase a question in natural language (“show me all entities owned by persons who also serve as directors of construction firms bidding on the Bertoua highway tender”) and the workbench produces a structured query against the registry, executes it, and presents results. The LLM-assistance uses Tier B Claude Opus 4.7 via Bedrock with pseudonymised query construction; the model never sees raw declarant data, only pseudonymised tokens and the structural patterns of the query.</w:t>
      </w:r>
    </w:p>
    <w:p>
      <w:pPr>
        <w:pStyle w:val="ListParagraph"/>
        <w:numPr>
          <w:ilvl w:val="0"/>
          <w:numId w:val="2"/>
        </w:numPr>
        <w:spacing w:after="80" w:line="300"/>
      </w:pPr>
      <w:r>
        <w:rPr>
          <w:rFonts w:ascii="Arial" w:cs="Arial" w:eastAsia="Arial" w:hAnsi="Arial"/>
          <w:color w:val="2C2C2A"/>
          <w:sz w:val="22"/>
          <w:szCs w:val="22"/>
        </w:rPr>
        <w:t xml:space="preserve">Evidence-package builder. The investigator assembles findings into a structured evidence package containing the queries run, the data returned, the analytic interpretation, and the supporting documents. The package is cryptographically signed by the investigator’s identity and timestamped, producing a chain-of-custody artefact admissible in administrative and judicial proceedings.</w:t>
      </w:r>
    </w:p>
    <w:p>
      <w:pPr>
        <w:pStyle w:val="ListParagraph"/>
        <w:numPr>
          <w:ilvl w:val="0"/>
          <w:numId w:val="2"/>
        </w:numPr>
        <w:spacing w:after="80" w:line="300"/>
      </w:pPr>
      <w:r>
        <w:rPr>
          <w:rFonts w:ascii="Arial" w:cs="Arial" w:eastAsia="Arial" w:hAnsi="Arial"/>
          <w:color w:val="2C2C2A"/>
          <w:sz w:val="22"/>
          <w:szCs w:val="22"/>
        </w:rPr>
        <w:t xml:space="preserve">Full case file. Each investigation is a case with status tracking, assignment, internal notes, and the cumulative record of evidence assembled. Cases route through the Workflow Service (Layer 2) and are governed by case-management policies (escalation, dormancy timeouts, peer review thresholds).</w:t>
      </w:r>
    </w:p>
    <w:p>
      <w:pPr>
        <w:pStyle w:val="Heading2"/>
        <w:spacing w:after="160" w:before="320"/>
      </w:pPr>
      <w:r>
        <w:rPr>
          <w:rFonts w:ascii="Arial" w:cs="Arial" w:eastAsia="Arial" w:hAnsi="Arial"/>
          <w:b/>
          <w:bCs/>
          <w:color w:val="1A1A1A"/>
          <w:sz w:val="28"/>
          <w:szCs w:val="28"/>
        </w:rPr>
        <w:t xml:space="preserve">Public Portal</w:t>
      </w:r>
    </w:p>
    <w:p>
      <w:pPr>
        <w:spacing w:after="140" w:line="320"/>
        <w:jc w:val="both"/>
      </w:pPr>
      <w:r>
        <w:rPr>
          <w:rFonts w:ascii="Arial" w:cs="Arial" w:eastAsia="Arial" w:hAnsi="Arial"/>
          <w:b w:val="false"/>
          <w:bCs w:val="false"/>
          <w:i w:val="false"/>
          <w:iCs w:val="false"/>
          <w:color w:val="2C2C2A"/>
          <w:sz w:val="22"/>
          <w:szCs w:val="22"/>
        </w:rPr>
        <w:t xml:space="preserve">The Public Portal serves citizens, journalists, civil society, and foreign due-diligence consumers. Access is anonymous (no registration required for read-only access), but rate-limited per source IP and per fingerprint to prevent abuse. The data exposed is the public tier only: entities that participate in public procurement (the ARMP bidder universe), entities that hold extractive concessions (MINMIDT, MINFOF, SNH cadastres), and entities that own significant real estate where statutory transparency applies.</w:t>
      </w:r>
    </w:p>
    <w:p>
      <w:pPr>
        <w:spacing w:after="140" w:line="320"/>
        <w:jc w:val="both"/>
      </w:pPr>
      <w:r>
        <w:rPr>
          <w:rFonts w:ascii="Arial" w:cs="Arial" w:eastAsia="Arial" w:hAnsi="Arial"/>
          <w:b w:val="false"/>
          <w:bCs w:val="false"/>
          <w:i w:val="false"/>
          <w:iCs w:val="false"/>
          <w:color w:val="2C2C2A"/>
          <w:sz w:val="22"/>
          <w:szCs w:val="22"/>
        </w:rPr>
        <w:t xml:space="preserve">Search is fielded: by entity name (fuzzy), by registration number, by beneficial-owner name (fuzzy), and by sectoral filter. BODS-compliant download is available for the full public tier on a nightly schedule, supporting bulk-analysis use cases by journalists and researchers. No raw personally identifiable information is exposed beyond what is statutorily public for the affected entities.</w:t>
      </w:r>
    </w:p>
    <w:p>
      <w:pPr>
        <w:spacing w:after="140" w:line="320"/>
        <w:jc w:val="both"/>
      </w:pPr>
      <w:r>
        <w:rPr>
          <w:rFonts w:ascii="Arial" w:cs="Arial" w:eastAsia="Arial" w:hAnsi="Arial"/>
          <w:b w:val="false"/>
          <w:bCs w:val="false"/>
          <w:i w:val="false"/>
          <w:iCs w:val="false"/>
          <w:color w:val="2C2C2A"/>
          <w:sz w:val="22"/>
          <w:szCs w:val="22"/>
        </w:rPr>
        <w:t xml:space="preserve">The portal’s political launch is a deliberate event with media and civil society coordination. The first politically inconvenient match will arrive within weeks of launch; the consortium’s communications strategy for managing that arrival is documented in the governance chapter.</w:t>
      </w:r>
    </w:p>
    <w:p>
      <w:pPr>
        <w:pStyle w:val="Heading2"/>
        <w:spacing w:after="160" w:before="320"/>
      </w:pPr>
      <w:r>
        <w:rPr>
          <w:rFonts w:ascii="Arial" w:cs="Arial" w:eastAsia="Arial" w:hAnsi="Arial"/>
          <w:b/>
          <w:bCs/>
          <w:color w:val="1A1A1A"/>
          <w:sz w:val="28"/>
          <w:szCs w:val="28"/>
        </w:rPr>
        <w:t xml:space="preserve">Whistleblower Intake (Tor service)</w:t>
      </w:r>
    </w:p>
    <w:p>
      <w:pPr>
        <w:spacing w:after="140" w:line="320"/>
        <w:jc w:val="both"/>
      </w:pPr>
      <w:r>
        <w:rPr>
          <w:rFonts w:ascii="Arial" w:cs="Arial" w:eastAsia="Arial" w:hAnsi="Arial"/>
          <w:b w:val="false"/>
          <w:bCs w:val="false"/>
          <w:i w:val="false"/>
          <w:iCs w:val="false"/>
          <w:color w:val="2C2C2A"/>
          <w:sz w:val="22"/>
          <w:szCs w:val="22"/>
        </w:rPr>
        <w:t xml:space="preserve">The Whistleblower Intake is a Tor-accessible .onion service operating end-to-end encrypted, with optional full anonymity for the whistleblower. The service is operated by a designated protected-investigator team within ANIF and CONAC, with operational isolation from the rest of the platform: the intake is hosted on infrastructure separate from the main platform, and the protected investigators do not have routine access to the broader registry, only to the intake queue.</w:t>
      </w:r>
    </w:p>
    <w:p>
      <w:pPr>
        <w:spacing w:after="140" w:line="320"/>
        <w:jc w:val="both"/>
      </w:pPr>
      <w:r>
        <w:rPr>
          <w:rFonts w:ascii="Arial" w:cs="Arial" w:eastAsia="Arial" w:hAnsi="Arial"/>
          <w:b w:val="false"/>
          <w:bCs w:val="false"/>
          <w:i w:val="false"/>
          <w:iCs w:val="false"/>
          <w:color w:val="2C2C2A"/>
          <w:sz w:val="22"/>
          <w:szCs w:val="22"/>
        </w:rPr>
        <w:t xml:space="preserve">The principal features are: a structured intake form that guides the whistleblower through evidence submission (concealed beneficial ownership claim, sanctions evasion claim, false declaration claim) with optional supporting-document upload; LLM-assisted clarification (Tier B Claude Opus 4.7) that helps non-expert whistleblowers articulate evidence structurally without prompting them in ways that bias their account; blinded case-tracking identifiers that permit the whistleblower to return and check status without identifying themselves; and end-to-end encryption with the intake team’s key, such that even the platform operators cannot read submitted content.</w:t>
      </w:r>
    </w:p>
    <w:p>
      <w:pPr>
        <w:spacing w:after="140" w:line="320"/>
        <w:jc w:val="both"/>
      </w:pPr>
      <w:r>
        <w:rPr>
          <w:rFonts w:ascii="Arial" w:cs="Arial" w:eastAsia="Arial" w:hAnsi="Arial"/>
          <w:b w:val="false"/>
          <w:bCs w:val="false"/>
          <w:i w:val="false"/>
          <w:iCs w:val="false"/>
          <w:color w:val="2C2C2A"/>
          <w:sz w:val="22"/>
          <w:szCs w:val="22"/>
        </w:rPr>
        <w:t xml:space="preserve">Operational triage: submissions are reviewed by the protected-investigator team and either routed to a registry-side case (with the whistleblower’s identity preserved as anonymised where requested), discarded with documented reason, or escalated to the judicial channel where the evidence supports it.</w:t>
      </w:r>
    </w:p>
    <w:p>
      <w:pPr>
        <w:pStyle w:val="Heading2"/>
        <w:spacing w:after="160" w:before="320"/>
      </w:pPr>
      <w:r>
        <w:rPr>
          <w:rFonts w:ascii="Arial" w:cs="Arial" w:eastAsia="Arial" w:hAnsi="Arial"/>
          <w:b/>
          <w:bCs/>
          <w:color w:val="1A1A1A"/>
          <w:sz w:val="28"/>
          <w:szCs w:val="28"/>
        </w:rPr>
        <w:t xml:space="preserve">Administrative Console</w:t>
      </w:r>
    </w:p>
    <w:p>
      <w:pPr>
        <w:spacing w:after="140" w:line="320"/>
        <w:jc w:val="both"/>
      </w:pPr>
      <w:r>
        <w:rPr>
          <w:rFonts w:ascii="Arial" w:cs="Arial" w:eastAsia="Arial" w:hAnsi="Arial"/>
          <w:b w:val="false"/>
          <w:bCs w:val="false"/>
          <w:i w:val="false"/>
          <w:iCs w:val="false"/>
          <w:color w:val="2C2C2A"/>
          <w:sz w:val="22"/>
          <w:szCs w:val="22"/>
        </w:rPr>
        <w:t xml:space="preserve">The Administrative Console is the surface for registry operations: policy administration, audit-log review, operational dashboards, and consortium governance actions. The intended users are the registry’s operational team, the consortium’s governance representatives, and external auditors with appropriate authorisation.</w:t>
      </w:r>
    </w:p>
    <w:p>
      <w:pPr>
        <w:spacing w:after="140" w:line="320"/>
        <w:jc w:val="both"/>
      </w:pPr>
      <w:r>
        <w:rPr>
          <w:rFonts w:ascii="Arial" w:cs="Arial" w:eastAsia="Arial" w:hAnsi="Arial"/>
          <w:b w:val="false"/>
          <w:bCs w:val="false"/>
          <w:i w:val="false"/>
          <w:iCs w:val="false"/>
          <w:color w:val="2C2C2A"/>
          <w:sz w:val="22"/>
          <w:szCs w:val="22"/>
        </w:rPr>
        <w:t xml:space="preserve">Policy administration: changes to access policy (Rego files in the Access Service), to the verification engine’s pipeline configuration (thresholds, stage-specific parameters), and to the consortium’s endorsement policies are managed through this console with mandatory threshold-signed approval for material changes. Schema evolution for the data model is similarly governed.</w:t>
      </w:r>
    </w:p>
    <w:p>
      <w:pPr>
        <w:spacing w:after="140" w:line="320"/>
        <w:jc w:val="both"/>
      </w:pPr>
      <w:r>
        <w:rPr>
          <w:rFonts w:ascii="Arial" w:cs="Arial" w:eastAsia="Arial" w:hAnsi="Arial"/>
          <w:b w:val="false"/>
          <w:bCs w:val="false"/>
          <w:i w:val="false"/>
          <w:iCs w:val="false"/>
          <w:color w:val="2C2C2A"/>
          <w:sz w:val="22"/>
          <w:szCs w:val="22"/>
        </w:rPr>
        <w:t xml:space="preserve">Audit-log review: external auditors access the audit log through the console, with structured search by time range, actor, action class, and affected data. The audit-log integrity verification (against OpenTimestamps anchors and against the Audit Service’s cryptographic attestations) is performed via the console with one-click verification.</w:t>
      </w:r>
    </w:p>
    <w:p>
      <w:pPr>
        <w:spacing w:after="140" w:line="320"/>
        <w:jc w:val="both"/>
      </w:pPr>
      <w:r>
        <w:rPr>
          <w:rFonts w:ascii="Arial" w:cs="Arial" w:eastAsia="Arial" w:hAnsi="Arial"/>
          <w:b w:val="false"/>
          <w:bCs w:val="false"/>
          <w:i w:val="false"/>
          <w:iCs w:val="false"/>
          <w:color w:val="2C2C2A"/>
          <w:sz w:val="22"/>
          <w:szCs w:val="22"/>
        </w:rPr>
        <w:t xml:space="preserve">Operational dashboards: per-service health metrics, per-consumer integration health, verification engine queue depth and latency, capacity utilisation across the storage layer, and incident timeline are presented through Grafana embeddings within the console.</w:t>
      </w:r>
    </w:p>
    <w:p>
      <w:pPr>
        <w:pStyle w:val="Heading2"/>
        <w:spacing w:after="160" w:before="320"/>
      </w:pPr>
      <w:r>
        <w:rPr>
          <w:rFonts w:ascii="Arial" w:cs="Arial" w:eastAsia="Arial" w:hAnsi="Arial"/>
          <w:b/>
          <w:bCs/>
          <w:color w:val="1A1A1A"/>
          <w:sz w:val="28"/>
          <w:szCs w:val="28"/>
        </w:rPr>
        <w:t xml:space="preserve">Cross-cutting application concerns</w:t>
      </w:r>
    </w:p>
    <w:p>
      <w:pPr>
        <w:spacing w:after="140" w:line="320"/>
        <w:jc w:val="both"/>
      </w:pPr>
      <w:r>
        <w:rPr>
          <w:rFonts w:ascii="Arial" w:cs="Arial" w:eastAsia="Arial" w:hAnsi="Arial"/>
          <w:b w:val="false"/>
          <w:bCs w:val="false"/>
          <w:i w:val="false"/>
          <w:iCs w:val="false"/>
          <w:color w:val="2C2C2A"/>
          <w:sz w:val="22"/>
          <w:szCs w:val="22"/>
        </w:rPr>
        <w:t xml:space="preserve">All six applications share a common technical foundation. The frontend stack is React with TypeScript, built and bundled with Vite, deployed as static assets served by a content-delivery surface at the edge of each operational site. Authentication is via the platform OIDC provider with SAML 2.0 federation supported for consumer institutions that maintain their own identity providers. Internationalisation is via the i18next library with French (default) and English (alternative) at launch; additional Cameroonian official languages may be added post-launch as demand and translation resources permit. Accessibility compliance targets WCAG 2.1 AA, with formal accessibility audit performed pre-launch by an independent firm.</w:t>
      </w:r>
    </w:p>
    <w:p>
      <w:pPr>
        <w:pStyle w:val="Heading1"/>
        <w:pageBreakBefore/>
        <w:spacing w:after="240" w:before="480"/>
      </w:pPr>
      <w:r>
        <w:rPr>
          <w:rFonts w:ascii="Arial" w:cs="Arial" w:eastAsia="Arial" w:hAnsi="Arial"/>
          <w:b/>
          <w:bCs/>
          <w:color w:val="1A1A1A"/>
          <w:sz w:val="36"/>
          <w:szCs w:val="36"/>
        </w:rPr>
        <w:t xml:space="preserve">Artificial Intelligence Inference Strategy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Anthropic’s Claude Opus 4.7 is the primary model and is preferred for every reasoning task in the platform whose capability requirements match its profile. Approximately ninety percent of all RÉCOR inference workload routes to Anthropic models. The routing discipline is enforced at the inference API gateway, not by convention; data-classification tags applied at the source determine which tier the request can reach, and no tier accepts data above its classification.</w:t>
      </w:r>
    </w:p>
    <w:p>
      <w:pPr>
        <w:pStyle w:val="Heading2"/>
        <w:spacing w:after="160" w:before="320"/>
      </w:pPr>
      <w:r>
        <w:rPr>
          <w:rFonts w:ascii="Arial" w:cs="Arial" w:eastAsia="Arial" w:hAnsi="Arial"/>
          <w:b/>
          <w:bCs/>
          <w:color w:val="1A1A1A"/>
          <w:sz w:val="28"/>
          <w:szCs w:val="28"/>
        </w:rPr>
        <w:t xml:space="preserve">Why this chapter exists as a cross-cutting concern</w:t>
      </w:r>
    </w:p>
    <w:p>
      <w:pPr>
        <w:spacing w:after="140" w:line="320"/>
        <w:jc w:val="both"/>
      </w:pPr>
      <w:r>
        <w:rPr>
          <w:rFonts w:ascii="Arial" w:cs="Arial" w:eastAsia="Arial" w:hAnsi="Arial"/>
          <w:b w:val="false"/>
          <w:bCs w:val="false"/>
          <w:i w:val="false"/>
          <w:iCs w:val="false"/>
          <w:color w:val="2C2C2A"/>
          <w:sz w:val="22"/>
          <w:szCs w:val="22"/>
        </w:rPr>
        <w:t xml:space="preserve">Artificial intelligence inference is invoked from multiple layers of the platform: from the Verification Engine in Layer 3 for adverse-media and pattern reasoning, from the Identity-Resolution Service in Layer 2 for ambiguous fuzzy matches, from the Investigation Workbench in Layer 6 for LLM-assisted query construction, and from the Whistleblower Intake in Layer 6 for guided intake. A single inference strategy governs all of these invocations, applied uniformly, audited centrally, and operated as a single coherent capability rather than as a collection of per-layer accidents. This chapter is the definitive statement of that strategy.</w:t>
      </w:r>
    </w:p>
    <w:p>
      <w:pPr>
        <w:pStyle w:val="Heading2"/>
        <w:spacing w:after="160" w:before="320"/>
      </w:pPr>
      <w:r>
        <w:rPr>
          <w:rFonts w:ascii="Arial" w:cs="Arial" w:eastAsia="Arial" w:hAnsi="Arial"/>
          <w:b/>
          <w:bCs/>
          <w:color w:val="1A1A1A"/>
          <w:sz w:val="28"/>
          <w:szCs w:val="28"/>
        </w:rPr>
        <w:t xml:space="preserve">The three-tier discipline</w:t>
      </w:r>
    </w:p>
    <w:p>
      <w:pPr>
        <w:spacing w:after="140" w:line="320"/>
        <w:jc w:val="both"/>
      </w:pPr>
      <w:r>
        <w:rPr>
          <w:rFonts w:ascii="Arial" w:cs="Arial" w:eastAsia="Arial" w:hAnsi="Arial"/>
          <w:b w:val="false"/>
          <w:bCs w:val="false"/>
          <w:i w:val="false"/>
          <w:iCs w:val="false"/>
          <w:color w:val="2C2C2A"/>
          <w:sz w:val="22"/>
          <w:szCs w:val="22"/>
        </w:rPr>
        <w:t xml:space="preserve">Inference workloads are partitioned by data classification into three tiers. The tier of any specific request is determined by the most sensitive data class that the request’s payload contains, not by the calling service’s identity. A request originating from a service that usually handles public data but that contains PII in its payload is routed to the PII-appropriate tier regardless of the caller.</w:t>
      </w:r>
    </w:p>
    <w:p>
      <w:pPr>
        <w:pStyle w:val="Heading3"/>
        <w:spacing w:after="120" w:before="240"/>
      </w:pPr>
      <w:r>
        <w:rPr>
          <w:rFonts w:ascii="Arial" w:cs="Arial" w:eastAsia="Arial" w:hAnsi="Arial"/>
          <w:b/>
          <w:bCs/>
          <w:color w:val="1A1A1A"/>
          <w:sz w:val="24"/>
          <w:szCs w:val="24"/>
        </w:rPr>
        <w:t xml:space="preserve">Tier A — Public-data reasoning</w:t>
      </w:r>
    </w:p>
    <w:p>
      <w:pPr>
        <w:pStyle w:val="ListParagraph"/>
        <w:numPr>
          <w:ilvl w:val="0"/>
          <w:numId w:val="2"/>
        </w:numPr>
        <w:spacing w:after="100" w:line="300"/>
      </w:pPr>
      <w:r>
        <w:rPr>
          <w:rFonts w:ascii="Arial" w:cs="Arial" w:eastAsia="Arial" w:hAnsi="Arial"/>
          <w:b/>
          <w:bCs/>
          <w:color w:val="1A1A1A"/>
          <w:sz w:val="22"/>
          <w:szCs w:val="22"/>
        </w:rPr>
        <w:t xml:space="preserve">Primary model. </w:t>
      </w:r>
      <w:r>
        <w:rPr>
          <w:rFonts w:ascii="Arial" w:cs="Arial" w:eastAsia="Arial" w:hAnsi="Arial"/>
          <w:color w:val="2C2C2A"/>
          <w:sz w:val="22"/>
          <w:szCs w:val="22"/>
        </w:rPr>
        <w:t xml:space="preserve">Claude Opus 4.7 via the Anthropic API.</w:t>
      </w:r>
    </w:p>
    <w:p>
      <w:pPr>
        <w:pStyle w:val="ListParagraph"/>
        <w:numPr>
          <w:ilvl w:val="0"/>
          <w:numId w:val="2"/>
        </w:numPr>
        <w:spacing w:after="100" w:line="300"/>
      </w:pPr>
      <w:r>
        <w:rPr>
          <w:rFonts w:ascii="Arial" w:cs="Arial" w:eastAsia="Arial" w:hAnsi="Arial"/>
          <w:b/>
          <w:bCs/>
          <w:color w:val="1A1A1A"/>
          <w:sz w:val="22"/>
          <w:szCs w:val="22"/>
        </w:rPr>
        <w:t xml:space="preserve">Fallback model within tier. </w:t>
      </w:r>
      <w:r>
        <w:rPr>
          <w:rFonts w:ascii="Arial" w:cs="Arial" w:eastAsia="Arial" w:hAnsi="Arial"/>
          <w:color w:val="2C2C2A"/>
          <w:sz w:val="22"/>
          <w:szCs w:val="22"/>
        </w:rPr>
        <w:t xml:space="preserve">Claude Sonnet 4.6 via the Anthropic API, for cost-sensitive batch reprocessing or as automatic fallback when Opus is rate-limited or unavailable.</w:t>
      </w:r>
    </w:p>
    <w:p>
      <w:pPr>
        <w:pStyle w:val="ListParagraph"/>
        <w:numPr>
          <w:ilvl w:val="0"/>
          <w:numId w:val="2"/>
        </w:numPr>
        <w:spacing w:after="100" w:line="300"/>
      </w:pPr>
      <w:r>
        <w:rPr>
          <w:rFonts w:ascii="Arial" w:cs="Arial" w:eastAsia="Arial" w:hAnsi="Arial"/>
          <w:b/>
          <w:bCs/>
          <w:color w:val="1A1A1A"/>
          <w:sz w:val="22"/>
          <w:szCs w:val="22"/>
        </w:rPr>
        <w:t xml:space="preserve">Eligible payloads. </w:t>
      </w:r>
      <w:r>
        <w:rPr>
          <w:rFonts w:ascii="Arial" w:cs="Arial" w:eastAsia="Arial" w:hAnsi="Arial"/>
          <w:color w:val="2C2C2A"/>
          <w:sz w:val="22"/>
          <w:szCs w:val="22"/>
        </w:rPr>
        <w:t xml:space="preserve">Sanctions narratives (public), adverse-media articles (public), ICIJ leaked-data archives (public), regulatory texts (public), and the platform’s own metadata that is itself public or that does not contain PII.</w:t>
      </w:r>
    </w:p>
    <w:p>
      <w:pPr>
        <w:pStyle w:val="ListParagraph"/>
        <w:numPr>
          <w:ilvl w:val="0"/>
          <w:numId w:val="2"/>
        </w:numPr>
        <w:spacing w:after="100" w:line="300"/>
      </w:pPr>
      <w:r>
        <w:rPr>
          <w:rFonts w:ascii="Arial" w:cs="Arial" w:eastAsia="Arial" w:hAnsi="Arial"/>
          <w:b/>
          <w:bCs/>
          <w:color w:val="1A1A1A"/>
          <w:sz w:val="22"/>
          <w:szCs w:val="22"/>
        </w:rPr>
        <w:t xml:space="preserve">Ineligible payloads. </w:t>
      </w:r>
      <w:r>
        <w:rPr>
          <w:rFonts w:ascii="Arial" w:cs="Arial" w:eastAsia="Arial" w:hAnsi="Arial"/>
          <w:color w:val="2C2C2A"/>
          <w:sz w:val="22"/>
          <w:szCs w:val="22"/>
        </w:rPr>
        <w:t xml:space="preserve">Any declarant identifier, declarant name, declarant date of birth, or other personally identifiable attribute, including pseudonymised tokens that could be re-identified by the recipient. Where reasoning is required over the combination of a public sanctions narrative and a declarant identity, the declarant identity is reduced to its public attributes (sector, business activity, country of origin, broad scale class) before the request is constructed; the request is then Tier A eligible.</w:t>
      </w:r>
    </w:p>
    <w:p>
      <w:pPr>
        <w:spacing w:after="140" w:line="320"/>
        <w:jc w:val="both"/>
      </w:pPr>
      <w:r>
        <w:rPr>
          <w:rFonts w:ascii="Arial" w:cs="Arial" w:eastAsia="Arial" w:hAnsi="Arial"/>
          <w:b w:val="false"/>
          <w:bCs w:val="false"/>
          <w:i w:val="false"/>
          <w:iCs w:val="false"/>
          <w:color w:val="2C2C2A"/>
          <w:sz w:val="22"/>
          <w:szCs w:val="22"/>
        </w:rPr>
        <w:t xml:space="preserve">Tier A is the highest-capability tier and is the destination of choice for any reasoning task whose data class permits it. Approximately sixty percent of inference workload by volume routes to Tier A.</w:t>
      </w:r>
    </w:p>
    <w:p>
      <w:pPr>
        <w:pStyle w:val="Heading3"/>
        <w:spacing w:after="120" w:before="240"/>
      </w:pPr>
      <w:r>
        <w:rPr>
          <w:rFonts w:ascii="Arial" w:cs="Arial" w:eastAsia="Arial" w:hAnsi="Arial"/>
          <w:b/>
          <w:bCs/>
          <w:color w:val="1A1A1A"/>
          <w:sz w:val="24"/>
          <w:szCs w:val="24"/>
        </w:rPr>
        <w:t xml:space="preserve">Tier B — Pseudonymised PII-derived feature reasoning</w:t>
      </w:r>
    </w:p>
    <w:p>
      <w:pPr>
        <w:pStyle w:val="ListParagraph"/>
        <w:numPr>
          <w:ilvl w:val="0"/>
          <w:numId w:val="2"/>
        </w:numPr>
        <w:spacing w:after="100" w:line="300"/>
      </w:pPr>
      <w:r>
        <w:rPr>
          <w:rFonts w:ascii="Arial" w:cs="Arial" w:eastAsia="Arial" w:hAnsi="Arial"/>
          <w:b/>
          <w:bCs/>
          <w:color w:val="1A1A1A"/>
          <w:sz w:val="22"/>
          <w:szCs w:val="22"/>
        </w:rPr>
        <w:t xml:space="preserve">Primary model. </w:t>
      </w:r>
      <w:r>
        <w:rPr>
          <w:rFonts w:ascii="Arial" w:cs="Arial" w:eastAsia="Arial" w:hAnsi="Arial"/>
          <w:color w:val="2C2C2A"/>
          <w:sz w:val="22"/>
          <w:szCs w:val="22"/>
        </w:rPr>
        <w:t xml:space="preserve">Claude Opus 4.7 via AWS Bedrock with PrivateLink in the af-south-1 region (Cape Town), accessed exclusively through VPC endpoints with no public internet egress.</w:t>
      </w:r>
    </w:p>
    <w:p>
      <w:pPr>
        <w:pStyle w:val="ListParagraph"/>
        <w:numPr>
          <w:ilvl w:val="0"/>
          <w:numId w:val="2"/>
        </w:numPr>
        <w:spacing w:after="100" w:line="300"/>
      </w:pPr>
      <w:r>
        <w:rPr>
          <w:rFonts w:ascii="Arial" w:cs="Arial" w:eastAsia="Arial" w:hAnsi="Arial"/>
          <w:b/>
          <w:bCs/>
          <w:color w:val="1A1A1A"/>
          <w:sz w:val="22"/>
          <w:szCs w:val="22"/>
        </w:rPr>
        <w:t xml:space="preserve">Fallback model within tier. </w:t>
      </w:r>
      <w:r>
        <w:rPr>
          <w:rFonts w:ascii="Arial" w:cs="Arial" w:eastAsia="Arial" w:hAnsi="Arial"/>
          <w:color w:val="2C2C2A"/>
          <w:sz w:val="22"/>
          <w:szCs w:val="22"/>
        </w:rPr>
        <w:t xml:space="preserve">Claude Sonnet 4.6 via the same Bedrock path.</w:t>
      </w:r>
    </w:p>
    <w:p>
      <w:pPr>
        <w:pStyle w:val="ListParagraph"/>
        <w:numPr>
          <w:ilvl w:val="0"/>
          <w:numId w:val="2"/>
        </w:numPr>
        <w:spacing w:after="100" w:line="300"/>
      </w:pPr>
      <w:r>
        <w:rPr>
          <w:rFonts w:ascii="Arial" w:cs="Arial" w:eastAsia="Arial" w:hAnsi="Arial"/>
          <w:b/>
          <w:bCs/>
          <w:color w:val="1A1A1A"/>
          <w:sz w:val="22"/>
          <w:szCs w:val="22"/>
        </w:rPr>
        <w:t xml:space="preserve">Eligible payloads. </w:t>
      </w:r>
      <w:r>
        <w:rPr>
          <w:rFonts w:ascii="Arial" w:cs="Arial" w:eastAsia="Arial" w:hAnsi="Arial"/>
          <w:color w:val="2C2C2A"/>
          <w:sz w:val="22"/>
          <w:szCs w:val="22"/>
        </w:rPr>
        <w:t xml:space="preserve">Features derived from PII where the PII has been pseudonymised at the gateway. Declarant names are replaced with deterministic tokens generated by HMAC with a consortium-controlled salt; declarant identifiers are replaced with platform-internal pseudonymous references; addresses are coarsened to administrative-region level; dates of birth are coarsened to year of birth or to an age range. The pseudonymisation is performed at the inference API gateway, in a process the application services cannot bypass, and the gateway maintains the mapping from pseudonyms to real values only for the duration required to process the response.</w:t>
      </w:r>
    </w:p>
    <w:p>
      <w:pPr>
        <w:pStyle w:val="ListParagraph"/>
        <w:numPr>
          <w:ilvl w:val="0"/>
          <w:numId w:val="2"/>
        </w:numPr>
        <w:spacing w:after="100" w:line="300"/>
      </w:pPr>
      <w:r>
        <w:rPr>
          <w:rFonts w:ascii="Arial" w:cs="Arial" w:eastAsia="Arial" w:hAnsi="Arial"/>
          <w:b/>
          <w:bCs/>
          <w:color w:val="1A1A1A"/>
          <w:sz w:val="22"/>
          <w:szCs w:val="22"/>
        </w:rPr>
        <w:t xml:space="preserve">Ineligible payloads. </w:t>
      </w:r>
      <w:r>
        <w:rPr>
          <w:rFonts w:ascii="Arial" w:cs="Arial" w:eastAsia="Arial" w:hAnsi="Arial"/>
          <w:color w:val="2C2C2A"/>
          <w:sz w:val="22"/>
          <w:szCs w:val="22"/>
        </w:rPr>
        <w:t xml:space="preserve">Raw PII without pseudonymisation. Declarant photographs. Document scans containing identifying material. Any payload whose recipient could re-identify the underlying person.</w:t>
      </w:r>
    </w:p>
    <w:p>
      <w:pPr>
        <w:spacing w:after="140" w:line="320"/>
        <w:jc w:val="both"/>
      </w:pPr>
      <w:r>
        <w:rPr>
          <w:rFonts w:ascii="Arial" w:cs="Arial" w:eastAsia="Arial" w:hAnsi="Arial"/>
          <w:b w:val="false"/>
          <w:bCs w:val="false"/>
          <w:i w:val="false"/>
          <w:iCs w:val="false"/>
          <w:color w:val="2C2C2A"/>
          <w:sz w:val="22"/>
          <w:szCs w:val="22"/>
        </w:rPr>
        <w:t xml:space="preserve">Tier B exists because some reasoning tasks fundamentally require cross-declaration context that cannot be reduced to wholly public attributes — reasoning about whether two declarations refer to the same person across transliteration variants, reasoning about the structural relationship between an ownership chain and a procurement pattern, reasoning about consistency between a person’s declared profile and their declared business scale. Pseudonymisation preserves the structural reasoning while removing the direct identifiability. The Bedrock PrivateLink path ensures that even the pseudonymised request does not traverse the public internet and is processed in a regional Anthropic-served endpoint physically located within Africa. Approximately thirty percent of inference workload by volume routes to Tier B.</w:t>
      </w:r>
    </w:p>
    <w:p>
      <w:pPr>
        <w:pStyle w:val="Heading3"/>
        <w:spacing w:after="120" w:before="240"/>
      </w:pPr>
      <w:r>
        <w:rPr>
          <w:rFonts w:ascii="Arial" w:cs="Arial" w:eastAsia="Arial" w:hAnsi="Arial"/>
          <w:b/>
          <w:bCs/>
          <w:color w:val="1A1A1A"/>
          <w:sz w:val="24"/>
          <w:szCs w:val="24"/>
        </w:rPr>
        <w:t xml:space="preserve">Tier C — Raw PII reasoning on sovereign infrastructure</w:t>
      </w:r>
    </w:p>
    <w:p>
      <w:pPr>
        <w:pStyle w:val="ListParagraph"/>
        <w:numPr>
          <w:ilvl w:val="0"/>
          <w:numId w:val="2"/>
        </w:numPr>
        <w:spacing w:after="100" w:line="300"/>
      </w:pPr>
      <w:r>
        <w:rPr>
          <w:rFonts w:ascii="Arial" w:cs="Arial" w:eastAsia="Arial" w:hAnsi="Arial"/>
          <w:b/>
          <w:bCs/>
          <w:color w:val="1A1A1A"/>
          <w:sz w:val="22"/>
          <w:szCs w:val="22"/>
        </w:rPr>
        <w:t xml:space="preserve">Primary model. </w:t>
      </w:r>
      <w:r>
        <w:rPr>
          <w:rFonts w:ascii="Arial" w:cs="Arial" w:eastAsia="Arial" w:hAnsi="Arial"/>
          <w:color w:val="2C2C2A"/>
          <w:sz w:val="22"/>
          <w:szCs w:val="22"/>
        </w:rPr>
        <w:t xml:space="preserve">Llama 3.3 70B Instruct deployed on NVIDIA H100 GPUs in the Yaoundé and Douala data centres, with redundancy across both sites.</w:t>
      </w:r>
    </w:p>
    <w:p>
      <w:pPr>
        <w:pStyle w:val="ListParagraph"/>
        <w:numPr>
          <w:ilvl w:val="0"/>
          <w:numId w:val="2"/>
        </w:numPr>
        <w:spacing w:after="100" w:line="300"/>
      </w:pPr>
      <w:r>
        <w:rPr>
          <w:rFonts w:ascii="Arial" w:cs="Arial" w:eastAsia="Arial" w:hAnsi="Arial"/>
          <w:b/>
          <w:bCs/>
          <w:color w:val="1A1A1A"/>
          <w:sz w:val="22"/>
          <w:szCs w:val="22"/>
        </w:rPr>
        <w:t xml:space="preserve">Fallback model within tier. </w:t>
      </w:r>
      <w:r>
        <w:rPr>
          <w:rFonts w:ascii="Arial" w:cs="Arial" w:eastAsia="Arial" w:hAnsi="Arial"/>
          <w:color w:val="2C2C2A"/>
          <w:sz w:val="22"/>
          <w:szCs w:val="22"/>
        </w:rPr>
        <w:t xml:space="preserve">Mistral Large 2 on the same in-country infrastructure.</w:t>
      </w:r>
    </w:p>
    <w:p>
      <w:pPr>
        <w:pStyle w:val="ListParagraph"/>
        <w:numPr>
          <w:ilvl w:val="0"/>
          <w:numId w:val="2"/>
        </w:numPr>
        <w:spacing w:after="100" w:line="300"/>
      </w:pPr>
      <w:r>
        <w:rPr>
          <w:rFonts w:ascii="Arial" w:cs="Arial" w:eastAsia="Arial" w:hAnsi="Arial"/>
          <w:b/>
          <w:bCs/>
          <w:color w:val="1A1A1A"/>
          <w:sz w:val="22"/>
          <w:szCs w:val="22"/>
        </w:rPr>
        <w:t xml:space="preserve">Eligible payloads. </w:t>
      </w:r>
      <w:r>
        <w:rPr>
          <w:rFonts w:ascii="Arial" w:cs="Arial" w:eastAsia="Arial" w:hAnsi="Arial"/>
          <w:color w:val="2C2C2A"/>
          <w:sz w:val="22"/>
          <w:szCs w:val="22"/>
        </w:rPr>
        <w:t xml:space="preserve">Any payload, including raw PII, document scans, and full evidence packages. The infrastructure is operated under Cameroonian sovereign authority, with no inference data traversing any network boundary outside the consortium’s control.</w:t>
      </w:r>
    </w:p>
    <w:p>
      <w:pPr>
        <w:pStyle w:val="ListParagraph"/>
        <w:numPr>
          <w:ilvl w:val="0"/>
          <w:numId w:val="2"/>
        </w:numPr>
        <w:spacing w:after="100" w:line="300"/>
      </w:pPr>
      <w:r>
        <w:rPr>
          <w:rFonts w:ascii="Arial" w:cs="Arial" w:eastAsia="Arial" w:hAnsi="Arial"/>
          <w:b/>
          <w:bCs/>
          <w:color w:val="1A1A1A"/>
          <w:sz w:val="22"/>
          <w:szCs w:val="22"/>
        </w:rPr>
        <w:t xml:space="preserve">Use cases. </w:t>
      </w:r>
      <w:r>
        <w:rPr>
          <w:rFonts w:ascii="Arial" w:cs="Arial" w:eastAsia="Arial" w:hAnsi="Arial"/>
          <w:color w:val="2C2C2A"/>
          <w:sz w:val="22"/>
          <w:szCs w:val="22"/>
        </w:rPr>
        <w:t xml:space="preserve">Evidence-package summarisation for investigative briefs delivered to ANIF, CONAC, and TCS, where the brief must contain the declarant’s actual identity and the supporting documents in unredacted form. Final-stage adverse-media reasoning where the model must see the declarant’s actual public profile combined with the article content to evaluate relevance.</w:t>
      </w:r>
    </w:p>
    <w:p>
      <w:pPr>
        <w:spacing w:after="140" w:line="320"/>
        <w:jc w:val="both"/>
      </w:pPr>
      <w:r>
        <w:rPr>
          <w:rFonts w:ascii="Arial" w:cs="Arial" w:eastAsia="Arial" w:hAnsi="Arial"/>
          <w:b w:val="false"/>
          <w:bCs w:val="false"/>
          <w:i w:val="false"/>
          <w:iCs w:val="false"/>
          <w:color w:val="2C2C2A"/>
          <w:sz w:val="22"/>
          <w:szCs w:val="22"/>
        </w:rPr>
        <w:t xml:space="preserve">Tier C is the residual tier reserved for cases where neither Tier A (data class too sensitive) nor Tier B (pseudonymisation would degrade the reasoning) is appropriate. The reasoning capability at Tier C is materially below Tier A, which is the principal reason Tier C is the residual rather than the default; the consortium accepts the capability gap in exchange for the sovereignty property. The expectation is that Tier C handles approximately ten percent of inference workload by volume, falling over time as Anthropic capability becomes available through additional sovereign deployment options (a roadmap consideration tracked in the platform’s technical evolution).</w:t>
      </w:r>
    </w:p>
    <w:p>
      <w:pPr>
        <w:pStyle w:val="Heading2"/>
        <w:spacing w:after="160" w:before="320"/>
      </w:pPr>
      <w:r>
        <w:rPr>
          <w:rFonts w:ascii="Arial" w:cs="Arial" w:eastAsia="Arial" w:hAnsi="Arial"/>
          <w:b/>
          <w:bCs/>
          <w:color w:val="1A1A1A"/>
          <w:sz w:val="28"/>
          <w:szCs w:val="28"/>
        </w:rPr>
        <w:t xml:space="preserve">Enforcement at the inference API gateway</w:t>
      </w:r>
    </w:p>
    <w:p>
      <w:pPr>
        <w:spacing w:after="140" w:line="320"/>
        <w:jc w:val="both"/>
      </w:pPr>
      <w:r>
        <w:rPr>
          <w:rFonts w:ascii="Arial" w:cs="Arial" w:eastAsia="Arial" w:hAnsi="Arial"/>
          <w:b w:val="false"/>
          <w:bCs w:val="false"/>
          <w:i w:val="false"/>
          <w:iCs w:val="false"/>
          <w:color w:val="2C2C2A"/>
          <w:sz w:val="22"/>
          <w:szCs w:val="22"/>
        </w:rPr>
        <w:t xml:space="preserve">The three-tier discipline is enforced at the inference API gateway, not by convention in the calling services. The gateway is a dedicated component that mediates every inference call in the platform. Its responsibilities are:</w:t>
      </w:r>
    </w:p>
    <w:p>
      <w:pPr>
        <w:pStyle w:val="ListParagraph"/>
        <w:numPr>
          <w:ilvl w:val="0"/>
          <w:numId w:val="2"/>
        </w:numPr>
        <w:spacing w:after="80" w:line="300"/>
      </w:pPr>
      <w:r>
        <w:rPr>
          <w:rFonts w:ascii="Arial" w:cs="Arial" w:eastAsia="Arial" w:hAnsi="Arial"/>
          <w:color w:val="2C2C2A"/>
          <w:sz w:val="22"/>
          <w:szCs w:val="22"/>
        </w:rPr>
        <w:t xml:space="preserve">Validate the data-classification tag attached to every inference request. Tags are set by the originating service based on the payload composition; the gateway verifies the tag against the actual payload (lightweight scan for known PII patterns, with rejection on mismatch).</w:t>
      </w:r>
    </w:p>
    <w:p>
      <w:pPr>
        <w:pStyle w:val="ListParagraph"/>
        <w:numPr>
          <w:ilvl w:val="0"/>
          <w:numId w:val="2"/>
        </w:numPr>
        <w:spacing w:after="80" w:line="300"/>
      </w:pPr>
      <w:r>
        <w:rPr>
          <w:rFonts w:ascii="Arial" w:cs="Arial" w:eastAsia="Arial" w:hAnsi="Arial"/>
          <w:color w:val="2C2C2A"/>
          <w:sz w:val="22"/>
          <w:szCs w:val="22"/>
        </w:rPr>
        <w:t xml:space="preserve">Route the request to the tier appropriate to the tag. Tag classifications are: ‘public’ (Tier A eligible), ‘pseudonymised’ (Tier B eligible; the gateway also verifies that the request payload contains no un-pseudonymised PII), and ‘raw-pii’ (Tier C only).</w:t>
      </w:r>
    </w:p>
    <w:p>
      <w:pPr>
        <w:pStyle w:val="ListParagraph"/>
        <w:numPr>
          <w:ilvl w:val="0"/>
          <w:numId w:val="2"/>
        </w:numPr>
        <w:spacing w:after="80" w:line="300"/>
      </w:pPr>
      <w:r>
        <w:rPr>
          <w:rFonts w:ascii="Arial" w:cs="Arial" w:eastAsia="Arial" w:hAnsi="Arial"/>
          <w:color w:val="2C2C2A"/>
          <w:sz w:val="22"/>
          <w:szCs w:val="22"/>
        </w:rPr>
        <w:t xml:space="preserve">Apply pseudonymisation at the gateway for Tier B requests. The pseudonymisation transforms are deterministic per request session, with the mapping retained for response reconstruction and then discarded.</w:t>
      </w:r>
    </w:p>
    <w:p>
      <w:pPr>
        <w:pStyle w:val="ListParagraph"/>
        <w:numPr>
          <w:ilvl w:val="0"/>
          <w:numId w:val="2"/>
        </w:numPr>
        <w:spacing w:after="80" w:line="300"/>
      </w:pPr>
      <w:r>
        <w:rPr>
          <w:rFonts w:ascii="Arial" w:cs="Arial" w:eastAsia="Arial" w:hAnsi="Arial"/>
          <w:color w:val="2C2C2A"/>
          <w:sz w:val="22"/>
          <w:szCs w:val="22"/>
        </w:rPr>
        <w:t xml:space="preserve">Log the inference request with its tier, model, response time, token counts, and an integrity hash of the request and response. Inference logs are themselves audit events consumed by the Audit Service.</w:t>
      </w:r>
    </w:p>
    <w:p>
      <w:pPr>
        <w:pStyle w:val="ListParagraph"/>
        <w:numPr>
          <w:ilvl w:val="0"/>
          <w:numId w:val="2"/>
        </w:numPr>
        <w:spacing w:after="80" w:line="300"/>
      </w:pPr>
      <w:r>
        <w:rPr>
          <w:rFonts w:ascii="Arial" w:cs="Arial" w:eastAsia="Arial" w:hAnsi="Arial"/>
          <w:color w:val="2C2C2A"/>
          <w:sz w:val="22"/>
          <w:szCs w:val="22"/>
        </w:rPr>
        <w:t xml:space="preserve">Enforce the per-tier budget limits and rate limits. The platform’s monthly inference budget is divided across the tiers; the gateway tracks consumption and applies backpressure when approaching limits.</w:t>
      </w:r>
    </w:p>
    <w:p>
      <w:pPr>
        <w:pStyle w:val="ListParagraph"/>
        <w:numPr>
          <w:ilvl w:val="0"/>
          <w:numId w:val="2"/>
        </w:numPr>
        <w:spacing w:after="80" w:line="300"/>
      </w:pPr>
      <w:r>
        <w:rPr>
          <w:rFonts w:ascii="Arial" w:cs="Arial" w:eastAsia="Arial" w:hAnsi="Arial"/>
          <w:color w:val="2C2C2A"/>
          <w:sz w:val="22"/>
          <w:szCs w:val="22"/>
        </w:rPr>
        <w:t xml:space="preserve">Implement the fallback cascade. If the primary model in a tier is unavailable or rate-limited, the gateway falls back to the in-tier fallback model. Cross-tier fallback is forbidden — a Tier C request never falls back to Tier A or B.</w:t>
      </w:r>
    </w:p>
    <w:p>
      <w:pPr>
        <w:pStyle w:val="Heading2"/>
        <w:spacing w:after="160" w:before="320"/>
      </w:pPr>
      <w:r>
        <w:rPr>
          <w:rFonts w:ascii="Arial" w:cs="Arial" w:eastAsia="Arial" w:hAnsi="Arial"/>
          <w:b/>
          <w:bCs/>
          <w:color w:val="1A1A1A"/>
          <w:sz w:val="28"/>
          <w:szCs w:val="28"/>
        </w:rPr>
        <w:t xml:space="preserve">Volume distribution and cost</w:t>
      </w:r>
    </w:p>
    <w:p>
      <w:pPr>
        <w:spacing w:after="140" w:line="320"/>
        <w:jc w:val="both"/>
      </w:pPr>
      <w:r>
        <w:rPr>
          <w:rFonts w:ascii="Arial" w:cs="Arial" w:eastAsia="Arial" w:hAnsi="Arial"/>
          <w:b w:val="false"/>
          <w:bCs w:val="false"/>
          <w:i w:val="false"/>
          <w:iCs w:val="false"/>
          <w:color w:val="2C2C2A"/>
          <w:sz w:val="22"/>
          <w:szCs w:val="22"/>
        </w:rPr>
        <w:t xml:space="preserve">The expected steady-state inference volume distribution and approximate monthly cost contribution are as follows. Actual numbers will calibrate against measured workload during the first six months of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Tier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Volume share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Primary model</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Fallback</w:t>
            </w:r>
          </w:p>
        </w:tc>
        <w:tc>
          <w:tcPr>
            <w:tcW w:type="dxa" w:w="27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Approximate monthly cost contribution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A</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Opus 4.7 via Anthropic API</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Sonnet 4.6</w:t>
            </w:r>
          </w:p>
        </w:tc>
        <w:tc>
          <w:tcPr>
            <w:tcW w:type="dxa" w:w="27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$80–140 K, dominated by Opus token costs on adverse-media and sanctions reasoning</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B</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Opus 4.7 via Bedrock PrivateLink (af-south-1)</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Sonnet 4.6 via Bedrock</w:t>
            </w:r>
          </w:p>
        </w:tc>
        <w:tc>
          <w:tcPr>
            <w:tcW w:type="dxa" w:w="27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$50–90 K, including the Bedrock PrivateLink premium and the cross-region network cost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C</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Llama 3.3 70B Instruct on in-country H100s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Mistral Large 2 on same hardware</w:t>
            </w:r>
          </w:p>
        </w:tc>
        <w:tc>
          <w:tcPr>
            <w:tcW w:type="dxa" w:w="27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$30–55 K, dominated by the GPU operating cost amortised across volume</w:t>
            </w:r>
          </w:p>
        </w:tc>
      </w:tr>
    </w:tbl>
    <w:p>
      <w:pPr>
        <w:spacing w:after="140" w:line="320"/>
        <w:jc w:val="both"/>
      </w:pPr>
      <w:r>
        <w:rPr>
          <w:rFonts w:ascii="Arial" w:cs="Arial" w:eastAsia="Arial" w:hAnsi="Arial"/>
          <w:b w:val="false"/>
          <w:bCs w:val="false"/>
          <w:i w:val="false"/>
          <w:iCs w:val="false"/>
          <w:color w:val="2C2C2A"/>
          <w:sz w:val="22"/>
          <w:szCs w:val="22"/>
        </w:rPr>
        <w:t xml:space="preserve">Approximately ninety percent of inference workload thus routes to Anthropic models (Tier A plus Tier B). This concentration is intentional: the verification engine’s reasoning quality is the load-bearing capability of the platform, and the model selection for that capability is the most consequential AI architecture decision. The cost figures above are indicative; actual operating cost in steady state is tracked in the budget chapter.</w:t>
      </w:r>
    </w:p>
    <w:p>
      <w:pPr>
        <w:pStyle w:val="Heading2"/>
        <w:spacing w:after="160" w:before="320"/>
      </w:pPr>
      <w:r>
        <w:rPr>
          <w:rFonts w:ascii="Arial" w:cs="Arial" w:eastAsia="Arial" w:hAnsi="Arial"/>
          <w:b/>
          <w:bCs/>
          <w:color w:val="1A1A1A"/>
          <w:sz w:val="28"/>
          <w:szCs w:val="28"/>
        </w:rPr>
        <w:t xml:space="preserve">Why Anthropic-primary and not multi-vendor</w:t>
      </w:r>
    </w:p>
    <w:p>
      <w:pPr>
        <w:spacing w:after="140" w:line="320"/>
        <w:jc w:val="both"/>
      </w:pPr>
      <w:r>
        <w:rPr>
          <w:rFonts w:ascii="Arial" w:cs="Arial" w:eastAsia="Arial" w:hAnsi="Arial"/>
          <w:b w:val="false"/>
          <w:bCs w:val="false"/>
          <w:i w:val="false"/>
          <w:iCs w:val="false"/>
          <w:color w:val="2C2C2A"/>
          <w:sz w:val="22"/>
          <w:szCs w:val="22"/>
        </w:rPr>
        <w:t xml:space="preserve">An alternative architecture would distribute inference across multiple vendor families (Anthropic, OpenAI, Google, the sovereign on-premises tier) and route per task. The platform deliberately does not adopt this architecture. The reasons are three.</w:t>
      </w:r>
    </w:p>
    <w:p>
      <w:pPr>
        <w:spacing w:after="140" w:line="320"/>
        <w:jc w:val="both"/>
      </w:pPr>
      <w:r>
        <w:rPr>
          <w:rFonts w:ascii="Arial" w:cs="Arial" w:eastAsia="Arial" w:hAnsi="Arial"/>
          <w:b w:val="false"/>
          <w:bCs w:val="false"/>
          <w:i w:val="false"/>
          <w:iCs w:val="false"/>
          <w:color w:val="2C2C2A"/>
          <w:sz w:val="22"/>
          <w:szCs w:val="22"/>
        </w:rPr>
        <w:t xml:space="preserve">First, capability concentration. Reasoning over adversarial, multi-source, ambiguous evidence is the dominant task in the verification engine. The empirical capability gap between Claude Opus 4.7 and the next-strongest available alternative on this class of task is material; routing to a non-Anthropic primary on capability-grounds reasoning would produce a measurably worse platform.</w:t>
      </w:r>
    </w:p>
    <w:p>
      <w:pPr>
        <w:spacing w:after="140" w:line="320"/>
        <w:jc w:val="both"/>
      </w:pPr>
      <w:r>
        <w:rPr>
          <w:rFonts w:ascii="Arial" w:cs="Arial" w:eastAsia="Arial" w:hAnsi="Arial"/>
          <w:b w:val="false"/>
          <w:bCs w:val="false"/>
          <w:i w:val="false"/>
          <w:iCs w:val="false"/>
          <w:color w:val="2C2C2A"/>
          <w:sz w:val="22"/>
          <w:szCs w:val="22"/>
        </w:rPr>
        <w:t xml:space="preserve">Second, operational complexity. Each additional vendor family adds an operational dependency, a contract, a billing relationship, a procurement compliance footprint, and a security review obligation. The marginal value of a second primary vendor is small (since Claude is the capability-best for the dominant task class); the marginal cost is material. The fallback discipline within the Anthropic family (Sonnet as Opus fallback) provides resilience without introducing a second vendor family.</w:t>
      </w:r>
    </w:p>
    <w:p>
      <w:pPr>
        <w:spacing w:after="140" w:line="320"/>
        <w:jc w:val="both"/>
      </w:pPr>
      <w:r>
        <w:rPr>
          <w:rFonts w:ascii="Arial" w:cs="Arial" w:eastAsia="Arial" w:hAnsi="Arial"/>
          <w:b w:val="false"/>
          <w:bCs w:val="false"/>
          <w:i w:val="false"/>
          <w:iCs w:val="false"/>
          <w:color w:val="2C2C2A"/>
          <w:sz w:val="22"/>
          <w:szCs w:val="22"/>
        </w:rPr>
        <w:t xml:space="preserve">Third, semantic consistency. Reasoning quality differences across vendor families produce behavioural inconsistency in the verification engine across requests — the same input might produce different outputs depending on which vendor served the inference, which makes the engine harder to audit, harder to calibrate, and harder to defend against accusations of inconsistent treatment. Single-vendor primary discipline produces a more auditable engine.</w:t>
      </w:r>
    </w:p>
    <w:p>
      <w:pPr>
        <w:spacing w:after="140" w:line="320"/>
        <w:jc w:val="both"/>
      </w:pPr>
      <w:r>
        <w:rPr>
          <w:rFonts w:ascii="Arial" w:cs="Arial" w:eastAsia="Arial" w:hAnsi="Arial"/>
          <w:b w:val="false"/>
          <w:bCs w:val="false"/>
          <w:i w:val="false"/>
          <w:iCs w:val="false"/>
          <w:color w:val="2C2C2A"/>
          <w:sz w:val="22"/>
          <w:szCs w:val="22"/>
        </w:rPr>
        <w:t xml:space="preserve">The sovereign on-premises Llama 3.3 70B and Mistral Large 2 tier is not a competitor to Anthropic; it is a complement that handles the residual class of requests where neither Tier A nor Tier B is applicable. The capability gap with Anthropic is acknowledged and accepted at this tier for the sovereignty property.</w:t>
      </w:r>
    </w:p>
    <w:p>
      <w:pPr>
        <w:pStyle w:val="Heading2"/>
        <w:spacing w:after="160" w:before="320"/>
      </w:pPr>
      <w:r>
        <w:rPr>
          <w:rFonts w:ascii="Arial" w:cs="Arial" w:eastAsia="Arial" w:hAnsi="Arial"/>
          <w:b/>
          <w:bCs/>
          <w:color w:val="1A1A1A"/>
          <w:sz w:val="28"/>
          <w:szCs w:val="28"/>
        </w:rPr>
        <w:t xml:space="preserve">Operational considerations for the inference layer</w:t>
      </w:r>
    </w:p>
    <w:p>
      <w:pPr>
        <w:spacing w:after="140" w:line="320"/>
        <w:jc w:val="both"/>
      </w:pPr>
      <w:r>
        <w:rPr>
          <w:rFonts w:ascii="Arial" w:cs="Arial" w:eastAsia="Arial" w:hAnsi="Arial"/>
          <w:b w:val="false"/>
          <w:bCs w:val="false"/>
          <w:i w:val="false"/>
          <w:iCs w:val="false"/>
          <w:color w:val="2C2C2A"/>
          <w:sz w:val="22"/>
          <w:szCs w:val="22"/>
        </w:rPr>
        <w:t xml:space="preserve">Inference latency is engineered into every consumer’s SLO commitments. The verification engine’s end-to-end thirty-second budget allocates approximately ten seconds to inference latency. Tier A latency in normal conditions is two to four seconds for Opus, with retry-on-throttle behaviour producing rare excursions to ten to fifteen seconds. Tier B latency is slightly higher due to the Bedrock PrivateLink overhead. Tier C latency depends on GPU saturation and is the highest of the three tiers in steady state.</w:t>
      </w:r>
    </w:p>
    <w:p>
      <w:pPr>
        <w:spacing w:after="140" w:line="320"/>
        <w:jc w:val="both"/>
      </w:pPr>
      <w:r>
        <w:rPr>
          <w:rFonts w:ascii="Arial" w:cs="Arial" w:eastAsia="Arial" w:hAnsi="Arial"/>
          <w:b w:val="false"/>
          <w:bCs w:val="false"/>
          <w:i w:val="false"/>
          <w:iCs w:val="false"/>
          <w:color w:val="2C2C2A"/>
          <w:sz w:val="22"/>
          <w:szCs w:val="22"/>
        </w:rPr>
        <w:t xml:space="preserve">Capacity planning for Tier C is a deliberate engineering exercise. The in-country GPU cluster is sized for steady-state Tier C demand plus the surge capacity required for the rare event of Tier A and Tier B simultaneous unavailability (a black-swan scenario in which the platform routes all inference to sovereign infrastructure for a bounded period). The cluster operates at thirty to fifty percent utilisation in steady state, with the headroom being the surge buffer.</w:t>
      </w:r>
    </w:p>
    <w:p>
      <w:pPr>
        <w:spacing w:after="140" w:line="320"/>
        <w:jc w:val="both"/>
      </w:pPr>
      <w:r>
        <w:rPr>
          <w:rFonts w:ascii="Arial" w:cs="Arial" w:eastAsia="Arial" w:hAnsi="Arial"/>
          <w:b w:val="false"/>
          <w:bCs w:val="false"/>
          <w:i w:val="false"/>
          <w:iCs w:val="false"/>
          <w:color w:val="2C2C2A"/>
          <w:sz w:val="22"/>
          <w:szCs w:val="22"/>
        </w:rPr>
        <w:t xml:space="preserve">Model version management is governed centrally. Production models in each tier are pinned to specific versions, with version upgrades evaluated through a parallel-test regime: the candidate version is run alongside the production version on a sample of production traffic, with the outcomes compared by analysts before promotion. Model deprecation by the vendor is anticipated and tracked in the platform’s technical roadmap, with migration ahead of deprecation deadlines.</w:t>
      </w:r>
    </w:p>
    <w:p>
      <w:pPr>
        <w:spacing w:after="140" w:line="320"/>
        <w:jc w:val="both"/>
      </w:pPr>
      <w:r>
        <w:rPr>
          <w:rFonts w:ascii="Arial" w:cs="Arial" w:eastAsia="Arial" w:hAnsi="Arial"/>
          <w:b w:val="false"/>
          <w:bCs w:val="false"/>
          <w:i w:val="false"/>
          <w:iCs w:val="false"/>
          <w:color w:val="2C2C2A"/>
          <w:sz w:val="22"/>
          <w:szCs w:val="22"/>
        </w:rPr>
        <w:t xml:space="preserve">Audit of inference outcomes is performed quarterly by an independent reviewer with consortium-board authorisation. The audit examines a stratified sample of inference outcomes across the tiers and stages, comparing them against ground-truth labels (for sampled outcomes whose ground truth is later confirmed by investigation findings) and against the verification analyst’s assessment. The audit produces calibration adjustments to the basic probability assignments in the Dempster–Shafer fusion and to the threshold parameters in the lane-routing logic.</w:t>
      </w:r>
    </w:p>
    <w:p>
      <w:pPr>
        <w:pStyle w:val="Heading1"/>
        <w:pageBreakBefore/>
        <w:spacing w:after="240" w:before="480"/>
      </w:pPr>
      <w:r>
        <w:rPr>
          <w:rFonts w:ascii="Arial" w:cs="Arial" w:eastAsia="Arial" w:hAnsi="Arial"/>
          <w:b/>
          <w:bCs/>
          <w:color w:val="1A1A1A"/>
          <w:sz w:val="36"/>
          <w:szCs w:val="36"/>
        </w:rPr>
        <w:t xml:space="preserve">Canonical Data Model</w:t>
      </w:r>
    </w:p>
    <w:p>
      <w:pPr>
        <w:pStyle w:val="Heading2"/>
        <w:spacing w:after="160" w:before="320"/>
      </w:pPr>
      <w:r>
        <w:rPr>
          <w:rFonts w:ascii="Arial" w:cs="Arial" w:eastAsia="Arial" w:hAnsi="Arial"/>
          <w:b/>
          <w:bCs/>
          <w:color w:val="1A1A1A"/>
          <w:sz w:val="28"/>
          <w:szCs w:val="28"/>
        </w:rPr>
        <w:t xml:space="preserve">Modelling commitments</w:t>
      </w:r>
    </w:p>
    <w:p>
      <w:pPr>
        <w:spacing w:after="140" w:line="320"/>
        <w:jc w:val="both"/>
      </w:pPr>
      <w:r>
        <w:rPr>
          <w:rFonts w:ascii="Arial" w:cs="Arial" w:eastAsia="Arial" w:hAnsi="Arial"/>
          <w:b w:val="false"/>
          <w:bCs w:val="false"/>
          <w:i w:val="false"/>
          <w:iCs w:val="false"/>
          <w:color w:val="2C2C2A"/>
          <w:sz w:val="22"/>
          <w:szCs w:val="22"/>
        </w:rPr>
        <w:t xml:space="preserve">The platform’s data model encodes three commitments that govern every modelling decision. First, temporality is explicit: every fact in the model is valid over a time interval, and the model records what was believed at every point in time, not only what is believed now. This commitment supports the historical-reconstruction requirement that investigators rely on and that the cryptographic anchoring requires. Second, provenance is explicit: every fact in the model is attributed to the declaration or evidence that established it, with cryptographic linkage back to the source. This commitment supports the chain-of-custody requirement that evidence packages depend on. Third, identity is multi-claim: a canonical natural person record holds multiple verified identity claims (CNI, passport, NIU, biometric template) and a canonical legal-entity record holds multiple verified identifier claims (RCCM, NIU, sectoral licence numbers), with the resolution of declared identity claims against canonical records as an explicit modelling concern rather than an implicit assumption.</w:t>
      </w:r>
    </w:p>
    <w:p>
      <w:pPr>
        <w:pStyle w:val="Heading2"/>
        <w:spacing w:after="160" w:before="320"/>
      </w:pPr>
      <w:r>
        <w:rPr>
          <w:rFonts w:ascii="Arial" w:cs="Arial" w:eastAsia="Arial" w:hAnsi="Arial"/>
          <w:b/>
          <w:bCs/>
          <w:color w:val="1A1A1A"/>
          <w:sz w:val="28"/>
          <w:szCs w:val="28"/>
        </w:rPr>
        <w:t xml:space="preserve">Canonical entities</w:t>
      </w:r>
    </w:p>
    <w:p>
      <w:pPr>
        <w:pStyle w:val="Heading3"/>
        <w:spacing w:after="120" w:before="240"/>
      </w:pPr>
      <w:r>
        <w:rPr>
          <w:rFonts w:ascii="Arial" w:cs="Arial" w:eastAsia="Arial" w:hAnsi="Arial"/>
          <w:b/>
          <w:bCs/>
          <w:color w:val="1A1A1A"/>
          <w:sz w:val="24"/>
          <w:szCs w:val="24"/>
        </w:rPr>
        <w:t xml:space="preserve">NaturalPerson</w:t>
      </w:r>
    </w:p>
    <w:p>
      <w:pPr>
        <w:spacing w:after="140" w:line="320"/>
        <w:jc w:val="both"/>
      </w:pPr>
      <w:r>
        <w:rPr>
          <w:rFonts w:ascii="Arial" w:cs="Arial" w:eastAsia="Arial" w:hAnsi="Arial"/>
          <w:b w:val="false"/>
          <w:bCs w:val="false"/>
          <w:i w:val="false"/>
          <w:iCs w:val="false"/>
          <w:color w:val="2C2C2A"/>
          <w:sz w:val="22"/>
          <w:szCs w:val="22"/>
        </w:rPr>
        <w:t xml:space="preserve">A NaturalPerson represents a single biological individual whose existence the platform recognises. The record’s attributes are the platform identifier (an opaque UUIDv7), the full name with all known transliteration variants attached as a structured list, the date of birth modelled as a half-open range to accommodate BUNEC date-uncertainty for older cohorts, the nationality or nationalities, the residential address, the contact information, the photograph reference (if collected at declaration), the PEP status (denormalised from the PEP register with a refreshed-at timestamp), the sanctions status (denormalised similarly), and a lifecycle status. A NaturalPerson is linked to a collection of IdentityClaim records that represent the external identity systems’ view of this person.</w:t>
      </w:r>
    </w:p>
    <w:p>
      <w:pPr>
        <w:pStyle w:val="Heading3"/>
        <w:spacing w:after="120" w:before="240"/>
      </w:pPr>
      <w:r>
        <w:rPr>
          <w:rFonts w:ascii="Arial" w:cs="Arial" w:eastAsia="Arial" w:hAnsi="Arial"/>
          <w:b/>
          <w:bCs/>
          <w:color w:val="1A1A1A"/>
          <w:sz w:val="24"/>
          <w:szCs w:val="24"/>
        </w:rPr>
        <w:t xml:space="preserve">IdentityClaim</w:t>
      </w:r>
    </w:p>
    <w:p>
      <w:pPr>
        <w:spacing w:after="140" w:line="320"/>
        <w:jc w:val="both"/>
      </w:pPr>
      <w:r>
        <w:rPr>
          <w:rFonts w:ascii="Arial" w:cs="Arial" w:eastAsia="Arial" w:hAnsi="Arial"/>
          <w:b w:val="false"/>
          <w:bCs w:val="false"/>
          <w:i w:val="false"/>
          <w:iCs w:val="false"/>
          <w:color w:val="2C2C2A"/>
          <w:sz w:val="22"/>
          <w:szCs w:val="22"/>
        </w:rPr>
        <w:t xml:space="preserve">An IdentityClaim represents a single external system’s view of a NaturalPerson, with the platform’s confidence that the claim resolves to that canonical person. Attributes include the claim type (CNI, passport, NIU, immigration-record, BUNEC-biometric), the external identifier, the issuing authority, the verification status (verified, pending, failed), the verification timestamp, and the confidence score. A canonical NaturalPerson may have several IdentityClaims of the same type (multiple passports across nationalities) and of different types. The identity-resolution service is responsible for maintaining the integrity of the mapping between IdentityClaims and NaturalPersons.</w:t>
      </w:r>
    </w:p>
    <w:p>
      <w:pPr>
        <w:pStyle w:val="Heading3"/>
        <w:spacing w:after="120" w:before="240"/>
      </w:pPr>
      <w:r>
        <w:rPr>
          <w:rFonts w:ascii="Arial" w:cs="Arial" w:eastAsia="Arial" w:hAnsi="Arial"/>
          <w:b/>
          <w:bCs/>
          <w:color w:val="1A1A1A"/>
          <w:sz w:val="24"/>
          <w:szCs w:val="24"/>
        </w:rPr>
        <w:t xml:space="preserve">LegalEntity</w:t>
      </w:r>
    </w:p>
    <w:p>
      <w:pPr>
        <w:spacing w:after="140" w:line="320"/>
        <w:jc w:val="both"/>
      </w:pPr>
      <w:r>
        <w:rPr>
          <w:rFonts w:ascii="Arial" w:cs="Arial" w:eastAsia="Arial" w:hAnsi="Arial"/>
          <w:b w:val="false"/>
          <w:bCs w:val="false"/>
          <w:i w:val="false"/>
          <w:iCs w:val="false"/>
          <w:color w:val="2C2C2A"/>
          <w:sz w:val="22"/>
          <w:szCs w:val="22"/>
        </w:rPr>
        <w:t xml:space="preserve">A LegalEntity represents a juridical person or legal arrangement registered or operating commercially in Cameroon. Attributes include the platform identifier, the canonical name and all known name variants, the legal form (SARL, SA, SAS, GIE, foundation, cooperative, branch of foreign entity, other), the incorporation date, the registered address, the principal place of business, the declared business activity, the registration identifiers across systems (RCCM, NIU, sectoral licence numbers), the lifecycle status, and the history of material status transitions. A LegalEntity is linked to a collection of Declaration records that represent the platform’s view of its beneficial-ownership disclosure history.</w:t>
      </w:r>
    </w:p>
    <w:p>
      <w:pPr>
        <w:pStyle w:val="Heading3"/>
        <w:spacing w:after="120" w:before="240"/>
      </w:pPr>
      <w:r>
        <w:rPr>
          <w:rFonts w:ascii="Arial" w:cs="Arial" w:eastAsia="Arial" w:hAnsi="Arial"/>
          <w:b/>
          <w:bCs/>
          <w:color w:val="1A1A1A"/>
          <w:sz w:val="24"/>
          <w:szCs w:val="24"/>
        </w:rPr>
        <w:t xml:space="preserve">Declaration</w:t>
      </w:r>
    </w:p>
    <w:p>
      <w:pPr>
        <w:spacing w:after="140" w:line="320"/>
        <w:jc w:val="both"/>
      </w:pPr>
      <w:r>
        <w:rPr>
          <w:rFonts w:ascii="Arial" w:cs="Arial" w:eastAsia="Arial" w:hAnsi="Arial"/>
          <w:b w:val="false"/>
          <w:bCs w:val="false"/>
          <w:i w:val="false"/>
          <w:iCs w:val="false"/>
          <w:color w:val="2C2C2A"/>
          <w:sz w:val="22"/>
          <w:szCs w:val="22"/>
        </w:rPr>
        <w:t xml:space="preserve">A Declaration represents a single beneficial-ownership disclosure submitted in respect of a LegalEntity at a point in time. Attributes include the platform identifier, the subject LegalEntity, the declarant (a person or legal entity submitting on behalf of the LegalEntity, with their authorisation evidenced), the effective-from date of the declared structure (which may be the declaration submission date or an earlier date for retroactive declarations), the list of declared OwnershipInterests and ControlInterests, the supporting documents, the cryptographic attestation by the declarant, and the lifecycle status (draft, submitted, in-verification, accepted, rejected, superseded). The lifecycle is a state machine with explicit permitted transitions; status transitions are themselves events recorded in the audit log.</w:t>
      </w:r>
    </w:p>
    <w:p>
      <w:pPr>
        <w:pStyle w:val="Heading3"/>
        <w:spacing w:after="120" w:before="240"/>
      </w:pPr>
      <w:r>
        <w:rPr>
          <w:rFonts w:ascii="Arial" w:cs="Arial" w:eastAsia="Arial" w:hAnsi="Arial"/>
          <w:b/>
          <w:bCs/>
          <w:color w:val="1A1A1A"/>
          <w:sz w:val="24"/>
          <w:szCs w:val="24"/>
        </w:rPr>
        <w:t xml:space="preserve">OwnershipInterest</w:t>
      </w:r>
    </w:p>
    <w:p>
      <w:pPr>
        <w:spacing w:after="140" w:line="320"/>
        <w:jc w:val="both"/>
      </w:pPr>
      <w:r>
        <w:rPr>
          <w:rFonts w:ascii="Arial" w:cs="Arial" w:eastAsia="Arial" w:hAnsi="Arial"/>
          <w:b w:val="false"/>
          <w:bCs w:val="false"/>
          <w:i w:val="false"/>
          <w:iCs w:val="false"/>
          <w:color w:val="2C2C2A"/>
          <w:sz w:val="22"/>
          <w:szCs w:val="22"/>
        </w:rPr>
        <w:t xml:space="preserve">An OwnershipInterest is a single declared ownership relationship between a NaturalPerson (the beneficial owner) and a LegalEntity (the owned entity). Attributes include the percentage of equity, the percentage of voting rights, the type of interest (direct, indirect through a named chain, family proxy with the family relationship documented, other), the validity interval (the effective-from date and, if known, the effective-to date), and the declaration that established this interest. Indirect ownership chains are decomposed into per-edge OwnershipInterests with intermediate LegalEntities, supporting the graph-traversal queries that the verification engine and the Investigation Workbench rely on.</w:t>
      </w:r>
    </w:p>
    <w:p>
      <w:pPr>
        <w:pStyle w:val="Heading3"/>
        <w:spacing w:after="120" w:before="240"/>
      </w:pPr>
      <w:r>
        <w:rPr>
          <w:rFonts w:ascii="Arial" w:cs="Arial" w:eastAsia="Arial" w:hAnsi="Arial"/>
          <w:b/>
          <w:bCs/>
          <w:color w:val="1A1A1A"/>
          <w:sz w:val="24"/>
          <w:szCs w:val="24"/>
        </w:rPr>
        <w:t xml:space="preserve">ControlInterest</w:t>
      </w:r>
    </w:p>
    <w:p>
      <w:pPr>
        <w:spacing w:after="140" w:line="320"/>
        <w:jc w:val="both"/>
      </w:pPr>
      <w:r>
        <w:rPr>
          <w:rFonts w:ascii="Arial" w:cs="Arial" w:eastAsia="Arial" w:hAnsi="Arial"/>
          <w:b w:val="false"/>
          <w:bCs w:val="false"/>
          <w:i w:val="false"/>
          <w:iCs w:val="false"/>
          <w:color w:val="2C2C2A"/>
          <w:sz w:val="22"/>
          <w:szCs w:val="22"/>
        </w:rPr>
        <w:t xml:space="preserve">A ControlInterest is similar to an OwnershipInterest but represents control without proportional ownership. Examples include nominee arrangements where a person holds shares on trust for another, contractual control through service agreements that effectively bind the entity, and family-relationship control where one person’s entity is in practice operated by another. ControlInterests are critical for the front-detection use case because the declared beneficial owner under a control interest may legitimately be a person other than the equity holder. Attributes parallel OwnershipInterest with the addition of a structured control-mechanism description.</w:t>
      </w:r>
    </w:p>
    <w:p>
      <w:pPr>
        <w:pStyle w:val="Heading3"/>
        <w:spacing w:after="120" w:before="240"/>
      </w:pPr>
      <w:r>
        <w:rPr>
          <w:rFonts w:ascii="Arial" w:cs="Arial" w:eastAsia="Arial" w:hAnsi="Arial"/>
          <w:b/>
          <w:bCs/>
          <w:color w:val="1A1A1A"/>
          <w:sz w:val="24"/>
          <w:szCs w:val="24"/>
        </w:rPr>
        <w:t xml:space="preserve">VerificationEvent</w:t>
      </w:r>
    </w:p>
    <w:p>
      <w:pPr>
        <w:spacing w:after="140" w:line="320"/>
        <w:jc w:val="both"/>
      </w:pPr>
      <w:r>
        <w:rPr>
          <w:rFonts w:ascii="Arial" w:cs="Arial" w:eastAsia="Arial" w:hAnsi="Arial"/>
          <w:b w:val="false"/>
          <w:bCs w:val="false"/>
          <w:i w:val="false"/>
          <w:iCs w:val="false"/>
          <w:color w:val="2C2C2A"/>
          <w:sz w:val="22"/>
          <w:szCs w:val="22"/>
        </w:rPr>
        <w:t xml:space="preserve">A VerificationEvent represents the outcome of a single stage of the verification engine for a single Declaration. Attributes include the Declaration reference, the pipeline stage (one of nine), the stage outcome (one of an enumerated set per stage), the structured evidence (a JSON document with stage-specific schema), the underlying data references (links to the sanctions-list entries, news articles, BUNEC records, or other evidence that the outcome rests on), the inference-tier classification if applicable (which AI tier processed the stage), the timestamp, and the cryptographic signature of the stage runner. A complete pipeline run for one declaration produces nine VerificationEvents linked to that Declaration, with the eighth and ninth representing the fusion and routing outcomes.</w:t>
      </w:r>
    </w:p>
    <w:p>
      <w:pPr>
        <w:pStyle w:val="Heading3"/>
        <w:spacing w:after="120" w:before="240"/>
      </w:pPr>
      <w:r>
        <w:rPr>
          <w:rFonts w:ascii="Arial" w:cs="Arial" w:eastAsia="Arial" w:hAnsi="Arial"/>
          <w:b/>
          <w:bCs/>
          <w:color w:val="1A1A1A"/>
          <w:sz w:val="24"/>
          <w:szCs w:val="24"/>
        </w:rPr>
        <w:t xml:space="preserve">RiskFlag</w:t>
      </w:r>
    </w:p>
    <w:p>
      <w:pPr>
        <w:spacing w:after="140" w:line="320"/>
        <w:jc w:val="both"/>
      </w:pPr>
      <w:r>
        <w:rPr>
          <w:rFonts w:ascii="Arial" w:cs="Arial" w:eastAsia="Arial" w:hAnsi="Arial"/>
          <w:b w:val="false"/>
          <w:bCs w:val="false"/>
          <w:i w:val="false"/>
          <w:iCs w:val="false"/>
          <w:color w:val="2C2C2A"/>
          <w:sz w:val="22"/>
          <w:szCs w:val="22"/>
        </w:rPr>
        <w:t xml:space="preserve">A RiskFlag is the surface representation of a verification outcome that warrants attention from a verification analyst or a downstream consumer. Attributes include the flag class (one of an enumerated set covering the eight pattern-detection signatures, sanctions hit, PEP hit, adverse-media hit, cross-source inconsistency), the severity, the supporting evidence references, the lifecycle status (open, in-review, confirmed, dismissed), and the analyst notes if the flag has been reviewed.</w:t>
      </w:r>
    </w:p>
    <w:p>
      <w:pPr>
        <w:pStyle w:val="Heading3"/>
        <w:spacing w:after="120" w:before="240"/>
      </w:pPr>
      <w:r>
        <w:rPr>
          <w:rFonts w:ascii="Arial" w:cs="Arial" w:eastAsia="Arial" w:hAnsi="Arial"/>
          <w:b/>
          <w:bCs/>
          <w:color w:val="1A1A1A"/>
          <w:sz w:val="24"/>
          <w:szCs w:val="24"/>
        </w:rPr>
        <w:t xml:space="preserve">Investigation</w:t>
      </w:r>
    </w:p>
    <w:p>
      <w:pPr>
        <w:spacing w:after="140" w:line="320"/>
        <w:jc w:val="both"/>
      </w:pPr>
      <w:r>
        <w:rPr>
          <w:rFonts w:ascii="Arial" w:cs="Arial" w:eastAsia="Arial" w:hAnsi="Arial"/>
          <w:b w:val="false"/>
          <w:bCs w:val="false"/>
          <w:i w:val="false"/>
          <w:iCs w:val="false"/>
          <w:color w:val="2C2C2A"/>
          <w:sz w:val="22"/>
          <w:szCs w:val="22"/>
        </w:rPr>
        <w:t xml:space="preserve">An Investigation is a long-running case-management artefact representing the work of investigators on a red-lane declaration or on a separately initiated investigation. Attributes include the case identifier, the lead institution (ANIF, CONAC, TCS, or judicial police), the assigned investigator, the case status, the assembled evidence packages, the timeline of significant events, and the case-closure outcome. Investigations are operated as Temporal workflows in the Workflow Service.</w:t>
      </w:r>
    </w:p>
    <w:p>
      <w:pPr>
        <w:pStyle w:val="Heading3"/>
        <w:spacing w:after="120" w:before="240"/>
      </w:pPr>
      <w:r>
        <w:rPr>
          <w:rFonts w:ascii="Arial" w:cs="Arial" w:eastAsia="Arial" w:hAnsi="Arial"/>
          <w:b/>
          <w:bCs/>
          <w:color w:val="1A1A1A"/>
          <w:sz w:val="24"/>
          <w:szCs w:val="24"/>
        </w:rPr>
        <w:t xml:space="preserve">AccessLog</w:t>
      </w:r>
    </w:p>
    <w:p>
      <w:pPr>
        <w:spacing w:after="140" w:line="320"/>
        <w:jc w:val="both"/>
      </w:pPr>
      <w:r>
        <w:rPr>
          <w:rFonts w:ascii="Arial" w:cs="Arial" w:eastAsia="Arial" w:hAnsi="Arial"/>
          <w:b w:val="false"/>
          <w:bCs w:val="false"/>
          <w:i w:val="false"/>
          <w:iCs w:val="false"/>
          <w:color w:val="2C2C2A"/>
          <w:sz w:val="22"/>
          <w:szCs w:val="22"/>
        </w:rPr>
        <w:t xml:space="preserve">An AccessLog is a single record of an access decision: who (the actor identity), what (the data accessed, with appropriate references), when (the timestamp), how (the API surface, the policy that authorised the access), and why (the structured justification provided by the requesting actor where required). Every access to restricted-tier or encrypted-tier data generates an AccessLog. The AccessLog records are immutable and are themselves anchored in the audit channel of the Fabric ledger.</w:t>
      </w:r>
    </w:p>
    <w:p>
      <w:pPr>
        <w:pStyle w:val="Heading2"/>
        <w:spacing w:after="160" w:before="320"/>
      </w:pPr>
      <w:r>
        <w:rPr>
          <w:rFonts w:ascii="Arial" w:cs="Arial" w:eastAsia="Arial" w:hAnsi="Arial"/>
          <w:b/>
          <w:bCs/>
          <w:color w:val="1A1A1A"/>
          <w:sz w:val="28"/>
          <w:szCs w:val="28"/>
        </w:rPr>
        <w:t xml:space="preserve">Relationship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Relationship</w:t>
            </w:r>
          </w:p>
        </w:tc>
        <w:tc>
          <w:tcPr>
            <w:tcW w:type="dxa" w:w="6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Semantics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NaturalPerson — IdentityClaim</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One canonical person, many external identity claims of various types.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LegalEntity — Declaration</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One entity, many declarations over time, with at most one accepted Declaration valid at any point in time.</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 OwnershipInterest</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One declaration, many declared ownership interests.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NaturalPerson — OwnershipInterest — LegalEntity</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ownership graph: time-bounded edges between persons and entities.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 VerificationEvent</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One declaration, nine verification events from one complete pipeline run, plus re-evaluation events on subsequent feeds.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VerificationEvent — RiskFlag</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events generate risk flags where the stage outcome warrants surfacing.</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RiskFlag — Investigation</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Flags may escalate into investigations; investigations may surface new flags.</w:t>
            </w:r>
          </w:p>
        </w:tc>
      </w:tr>
      <w:tr>
        <w:tc>
          <w:tcPr>
            <w:tcW w:type="dxa" w:w="2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Everything — AccessLog</w:t>
            </w:r>
          </w:p>
        </w:tc>
        <w:tc>
          <w:tcPr>
            <w:tcW w:type="dxa" w:w="6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Every read of restricted or encrypted data generates an access log entry.</w:t>
            </w:r>
          </w:p>
        </w:tc>
      </w:tr>
    </w:tbl>
    <w:p>
      <w:pPr>
        <w:pStyle w:val="Heading2"/>
        <w:spacing w:after="160" w:before="320"/>
      </w:pPr>
      <w:r>
        <w:rPr>
          <w:rFonts w:ascii="Arial" w:cs="Arial" w:eastAsia="Arial" w:hAnsi="Arial"/>
          <w:b/>
          <w:bCs/>
          <w:color w:val="1A1A1A"/>
          <w:sz w:val="28"/>
          <w:szCs w:val="28"/>
        </w:rPr>
        <w:t xml:space="preserve">Persistence mapping</w:t>
      </w:r>
    </w:p>
    <w:p>
      <w:pPr>
        <w:spacing w:after="140" w:line="320"/>
        <w:jc w:val="both"/>
      </w:pPr>
      <w:r>
        <w:rPr>
          <w:rFonts w:ascii="Arial" w:cs="Arial" w:eastAsia="Arial" w:hAnsi="Arial"/>
          <w:b w:val="false"/>
          <w:bCs w:val="false"/>
          <w:i w:val="false"/>
          <w:iCs w:val="false"/>
          <w:color w:val="2C2C2A"/>
          <w:sz w:val="22"/>
          <w:szCs w:val="22"/>
        </w:rPr>
        <w:t xml:space="preserve">The canonical data model is persisted across Layer 1 storage technologies as follows. PostgreSQL is the system of record for all canonical entities and their attributes. Neo4j holds the projected ownership graph derived from accepted Declarations and their OwnershipInterests and ControlInterests. OpenSearch holds search indices over names, identifiers, and addresses for fuzzy resolution. Kafka holds the immutable event stream from which all derived projections can be rebuilt. MinIO holds the opaque binary content (documents, photographs, evidence packages). Redis holds operational caches and rate-limiting state but not persistent canonical data.</w:t>
      </w:r>
    </w:p>
    <w:p>
      <w:pPr>
        <w:pStyle w:val="Heading2"/>
        <w:spacing w:after="160" w:before="320"/>
      </w:pPr>
      <w:r>
        <w:rPr>
          <w:rFonts w:ascii="Arial" w:cs="Arial" w:eastAsia="Arial" w:hAnsi="Arial"/>
          <w:b/>
          <w:bCs/>
          <w:color w:val="1A1A1A"/>
          <w:sz w:val="28"/>
          <w:szCs w:val="28"/>
        </w:rPr>
        <w:t xml:space="preserve">Schema evolution governance</w:t>
      </w:r>
    </w:p>
    <w:p>
      <w:pPr>
        <w:spacing w:after="140" w:line="320"/>
        <w:jc w:val="both"/>
      </w:pPr>
      <w:r>
        <w:rPr>
          <w:rFonts w:ascii="Arial" w:cs="Arial" w:eastAsia="Arial" w:hAnsi="Arial"/>
          <w:b w:val="false"/>
          <w:bCs w:val="false"/>
          <w:i w:val="false"/>
          <w:iCs w:val="false"/>
          <w:color w:val="2C2C2A"/>
          <w:sz w:val="22"/>
          <w:szCs w:val="22"/>
        </w:rPr>
        <w:t xml:space="preserve">Schema changes are governed by the consortium. Additive backward-compatible changes (new optional fields, new enumerated values where consumers ignore unknown values) are governed by the platform team with consortium notification. Material breaking changes — changes that alter the meaning of existing fields, that remove fields, that change cardinality semantics — require formal change-request review with threshold-signed approval from the consortium’s schema-governance quorum (seven of ten, including at least one non-state seat). This governance discipline is the structural property that protects the long-term integrity of the platform’s data over the lifetime of multiple political administrations.</w:t>
      </w:r>
    </w:p>
    <w:p>
      <w:pPr>
        <w:pStyle w:val="Heading1"/>
        <w:pageBreakBefore/>
        <w:spacing w:after="240" w:before="480"/>
      </w:pPr>
      <w:r>
        <w:rPr>
          <w:rFonts w:ascii="Arial" w:cs="Arial" w:eastAsia="Arial" w:hAnsi="Arial"/>
          <w:b/>
          <w:bCs/>
          <w:color w:val="1A1A1A"/>
          <w:sz w:val="36"/>
          <w:szCs w:val="36"/>
        </w:rPr>
        <w:t xml:space="preserve">Engineering Standards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International funders do not accept the commitment that the platform will be built to a high engineering standard; they accept evidence that the standard is codified in CI/CD policy gates with documented exceptions only by named approval. Every commitment in this chapter is stated at the level at which it is enforceable.</w:t>
      </w:r>
    </w:p>
    <w:p>
      <w:pPr>
        <w:pStyle w:val="Heading2"/>
        <w:spacing w:after="160" w:before="320"/>
      </w:pPr>
      <w:r>
        <w:rPr>
          <w:rFonts w:ascii="Arial" w:cs="Arial" w:eastAsia="Arial" w:hAnsi="Arial"/>
          <w:b/>
          <w:bCs/>
          <w:color w:val="1A1A1A"/>
          <w:sz w:val="28"/>
          <w:szCs w:val="28"/>
        </w:rPr>
        <w:t xml:space="preserve">Language and toolchain</w:t>
      </w:r>
    </w:p>
    <w:p>
      <w:pPr>
        <w:spacing w:after="140" w:line="320"/>
        <w:jc w:val="both"/>
      </w:pPr>
      <w:r>
        <w:rPr>
          <w:rFonts w:ascii="Arial" w:cs="Arial" w:eastAsia="Arial" w:hAnsi="Arial"/>
          <w:b w:val="false"/>
          <w:bCs w:val="false"/>
          <w:i w:val="false"/>
          <w:iCs w:val="false"/>
          <w:color w:val="2C2C2A"/>
          <w:sz w:val="22"/>
          <w:szCs w:val="22"/>
        </w:rPr>
        <w:t xml:space="preserve">The codebase is organised by language by layer of latency and safety requirement. Rust is the implementation language for the verification engine’s hot paths, for the cryptographic operations in Layer 0, and for the API gateway. TypeScript with strict mode and no implicit any is the implementation language for the application layer (the six user-facing applications and the gRPC service-layer business logic). Python is used only for machine learning pipelines, for data science notebooks, and for one-off operational scripts; it is forbidden as the implementation language for production services.</w:t>
      </w:r>
    </w:p>
    <w:p>
      <w:pPr>
        <w:spacing w:after="140" w:line="320"/>
        <w:jc w:val="both"/>
      </w:pPr>
      <w:r>
        <w:rPr>
          <w:rFonts w:ascii="Arial" w:cs="Arial" w:eastAsia="Arial" w:hAnsi="Arial"/>
          <w:b w:val="false"/>
          <w:bCs w:val="false"/>
          <w:i w:val="false"/>
          <w:iCs w:val="false"/>
          <w:color w:val="2C2C2A"/>
          <w:sz w:val="22"/>
          <w:szCs w:val="22"/>
        </w:rPr>
        <w:t xml:space="preserve">Language-specific tooling discipline: Rust uses cargo with workspaces, with clippy at deny-warnings policy gate in CI; rustfmt formatting is enforced. TypeScript uses pnpm with workspaces, with eslint at the airbnb-strict configuration as policy gate; prettier formatting is enforced. Python uses uv with locked dependencies and ruff for linting and formatting at deny-warnings policy gate. Cross-language code generation from Protobuf and OpenAPI is governed by Buf and OpenAPI Generator respectively, with generated code committed to the repository for review traceability but generated from the authoritative source schemas.</w:t>
      </w:r>
    </w:p>
    <w:p>
      <w:pPr>
        <w:pStyle w:val="Heading2"/>
        <w:spacing w:after="160" w:before="320"/>
      </w:pPr>
      <w:r>
        <w:rPr>
          <w:rFonts w:ascii="Arial" w:cs="Arial" w:eastAsia="Arial" w:hAnsi="Arial"/>
          <w:b/>
          <w:bCs/>
          <w:color w:val="1A1A1A"/>
          <w:sz w:val="28"/>
          <w:szCs w:val="28"/>
        </w:rPr>
        <w:t xml:space="preserve">Code review and testing</w:t>
      </w:r>
    </w:p>
    <w:p>
      <w:pPr>
        <w:spacing w:after="140" w:line="320"/>
        <w:jc w:val="both"/>
      </w:pPr>
      <w:r>
        <w:rPr>
          <w:rFonts w:ascii="Arial" w:cs="Arial" w:eastAsia="Arial" w:hAnsi="Arial"/>
          <w:b w:val="false"/>
          <w:bCs w:val="false"/>
          <w:i w:val="false"/>
          <w:iCs w:val="false"/>
          <w:color w:val="2C2C2A"/>
          <w:sz w:val="22"/>
          <w:szCs w:val="22"/>
        </w:rPr>
        <w:t xml:space="preserve">Code review is mandatory for every change merging into the main branch. Two reviewers are required, with at least one from a different domain team than the author. Review approval expires twenty-four hours after grant if not merged, requiring re-review to prevent stale approvals. Changes touching cryptographic operations require a third reviewer from the cryptographic-engineering team. Changes touching the verification engine require a third reviewer from the verification engineering team.</w:t>
      </w:r>
    </w:p>
    <w:p>
      <w:pPr>
        <w:spacing w:after="140" w:line="320"/>
        <w:jc w:val="both"/>
      </w:pPr>
      <w:r>
        <w:rPr>
          <w:rFonts w:ascii="Arial" w:cs="Arial" w:eastAsia="Arial" w:hAnsi="Arial"/>
          <w:b w:val="false"/>
          <w:bCs w:val="false"/>
          <w:i w:val="false"/>
          <w:iCs w:val="false"/>
          <w:color w:val="2C2C2A"/>
          <w:sz w:val="22"/>
          <w:szCs w:val="22"/>
        </w:rPr>
        <w:t xml:space="preserve">Test coverage minimums are enforced in CI. Domain services in Layer 2 require 85% statement coverage and 80% branch coverage. The verification engine in Layer 3 requires 95% statement coverage and 90% branch coverage. The cryptographic substrate in Layer 0 requires 95% statement coverage with mutation testing via cargo-mutants. The application layer in Layer 6 requires 80% statement coverage with end-to-end test scenarios for every primary user workflow. Integration tests run against ephemeral environments per pull request, provisioned via Tilt and Kind on the CI infrastructure. End-to-end tests run against a staging environment that mirrors production topology.</w:t>
      </w:r>
    </w:p>
    <w:p>
      <w:pPr>
        <w:spacing w:after="140" w:line="320"/>
        <w:jc w:val="both"/>
      </w:pPr>
      <w:r>
        <w:rPr>
          <w:rFonts w:ascii="Arial" w:cs="Arial" w:eastAsia="Arial" w:hAnsi="Arial"/>
          <w:b w:val="false"/>
          <w:bCs w:val="false"/>
          <w:i w:val="false"/>
          <w:iCs w:val="false"/>
          <w:color w:val="2C2C2A"/>
          <w:sz w:val="22"/>
          <w:szCs w:val="22"/>
        </w:rPr>
        <w:t xml:space="preserve">Test categories enforced: unit tests for pure logic and isolated component behaviour; integration tests for service-to-service interactions in the gRPC mesh; contract tests for the API surface (consumer-driven contracts via Pact); end-to-end tests for full-pipeline scenarios in the verification engine; load tests for performance regression detection; security tests for known vulnerability classes via Semgrep and CodeQL; chaos tests for resilience verification via Litmus. Each category has its own CI stage and its own pass criteria.</w:t>
      </w:r>
    </w:p>
    <w:p>
      <w:pPr>
        <w:pStyle w:val="Heading2"/>
        <w:spacing w:after="160" w:before="320"/>
      </w:pPr>
      <w:r>
        <w:rPr>
          <w:rFonts w:ascii="Arial" w:cs="Arial" w:eastAsia="Arial" w:hAnsi="Arial"/>
          <w:b/>
          <w:bCs/>
          <w:color w:val="1A1A1A"/>
          <w:sz w:val="28"/>
          <w:szCs w:val="28"/>
        </w:rPr>
        <w:t xml:space="preserve">Supply chain</w:t>
      </w:r>
    </w:p>
    <w:p>
      <w:pPr>
        <w:spacing w:after="140" w:line="320"/>
        <w:jc w:val="both"/>
      </w:pPr>
      <w:r>
        <w:rPr>
          <w:rFonts w:ascii="Arial" w:cs="Arial" w:eastAsia="Arial" w:hAnsi="Arial"/>
          <w:b w:val="false"/>
          <w:bCs w:val="false"/>
          <w:i w:val="false"/>
          <w:iCs w:val="false"/>
          <w:color w:val="2C2C2A"/>
          <w:sz w:val="22"/>
          <w:szCs w:val="22"/>
        </w:rPr>
        <w:t xml:space="preserve">Supply chain security is enforced at SLSA Level 4 for every artefact deployed to production. The requirements are: hermetic and reproducible builds verified by an independent rebuilder running on separate infrastructure; complete provenance attestation generated at build time and verifiable at deployment; build-platform isolation with no human access to the build infrastructure; and two-party review for any change to the build infrastructure itself.</w:t>
      </w:r>
    </w:p>
    <w:p>
      <w:pPr>
        <w:spacing w:after="140" w:line="320"/>
        <w:jc w:val="both"/>
      </w:pPr>
      <w:r>
        <w:rPr>
          <w:rFonts w:ascii="Arial" w:cs="Arial" w:eastAsia="Arial" w:hAnsi="Arial"/>
          <w:b w:val="false"/>
          <w:bCs w:val="false"/>
          <w:i w:val="false"/>
          <w:iCs w:val="false"/>
          <w:color w:val="2C2C2A"/>
          <w:sz w:val="22"/>
          <w:szCs w:val="22"/>
        </w:rPr>
        <w:t xml:space="preserve">Dependency management: all dependencies are pinned with cryptographic hash verification. Renovate manages dependency updates with mandatory human review for material changes and automated merge for security-only patch updates. The dependency graph is monitored continuously for newly disclosed vulnerabilities via Trivy and Snyk, with policy gates blocking deployment of artefacts containing dependencies with critical-severity CVEs unmitigated for more than seven days.</w:t>
      </w:r>
    </w:p>
    <w:p>
      <w:pPr>
        <w:spacing w:after="140" w:line="320"/>
        <w:jc w:val="both"/>
      </w:pPr>
      <w:r>
        <w:rPr>
          <w:rFonts w:ascii="Arial" w:cs="Arial" w:eastAsia="Arial" w:hAnsi="Arial"/>
          <w:b w:val="false"/>
          <w:bCs w:val="false"/>
          <w:i w:val="false"/>
          <w:iCs w:val="false"/>
          <w:color w:val="2C2C2A"/>
          <w:sz w:val="22"/>
          <w:szCs w:val="22"/>
        </w:rPr>
        <w:t xml:space="preserve">Software Bill of Materials is generated for every artefact in CycloneDX format, with attestations signed via Sigstore. SBoMs are retained in the platform’s artefact registry for the full retention period and are available to auditors. Container images are signed via Sigstore cosign with verification enforced at the Kubernetes admission controller; unsigned or invalid-signature images cannot be deployed.</w:t>
      </w:r>
    </w:p>
    <w:p>
      <w:pPr>
        <w:pStyle w:val="Heading2"/>
        <w:spacing w:after="160" w:before="320"/>
      </w:pPr>
      <w:r>
        <w:rPr>
          <w:rFonts w:ascii="Arial" w:cs="Arial" w:eastAsia="Arial" w:hAnsi="Arial"/>
          <w:b/>
          <w:bCs/>
          <w:color w:val="1A1A1A"/>
          <w:sz w:val="28"/>
          <w:szCs w:val="28"/>
        </w:rPr>
        <w:t xml:space="preserve">Observability</w:t>
      </w:r>
    </w:p>
    <w:p>
      <w:pPr>
        <w:spacing w:after="140" w:line="320"/>
        <w:jc w:val="both"/>
      </w:pPr>
      <w:r>
        <w:rPr>
          <w:rFonts w:ascii="Arial" w:cs="Arial" w:eastAsia="Arial" w:hAnsi="Arial"/>
          <w:b w:val="false"/>
          <w:bCs w:val="false"/>
          <w:i w:val="false"/>
          <w:iCs w:val="false"/>
          <w:color w:val="2C2C2A"/>
          <w:sz w:val="22"/>
          <w:szCs w:val="22"/>
        </w:rPr>
        <w:t xml:space="preserve">OpenTelemetry instrumentation runs through every service in Layer 2 and every application in Layer 6. The instrumentation discipline is that every cross-service call propagates trace context, every significant in-service operation produces a span, every operation outcome produces a structured log event with the trace identifier, and every operation completion produces a metric event. The three telemetry streams — traces, logs, metrics — are correlated by trace identifier across the platform, supporting the operational requirement that an investigator can navigate from a metric anomaly to the traces that produced it to the logs that explain the traces.</w:t>
      </w:r>
    </w:p>
    <w:p>
      <w:pPr>
        <w:spacing w:after="140" w:line="320"/>
        <w:jc w:val="both"/>
      </w:pPr>
      <w:r>
        <w:rPr>
          <w:rFonts w:ascii="Arial" w:cs="Arial" w:eastAsia="Arial" w:hAnsi="Arial"/>
          <w:b w:val="false"/>
          <w:bCs w:val="false"/>
          <w:i w:val="false"/>
          <w:iCs w:val="false"/>
          <w:color w:val="2C2C2A"/>
          <w:sz w:val="22"/>
          <w:szCs w:val="22"/>
        </w:rPr>
        <w:t xml:space="preserve">Backend: Prometheus for metrics, federated across the two operational sites. Grafana for dashboards with per-service SLO views and per-consumer integration health views. Loki for log aggregation with structured-log discipline enforced by linting (JSON-only logs with a fixed schema, no free-text log lines). Tempo for distributed trace aggregation. Alertmanager for alert routing with PagerDuty as the on-call escalation surface.</w:t>
      </w:r>
    </w:p>
    <w:p>
      <w:pPr>
        <w:spacing w:after="140" w:line="320"/>
        <w:jc w:val="both"/>
      </w:pPr>
      <w:r>
        <w:rPr>
          <w:rFonts w:ascii="Arial" w:cs="Arial" w:eastAsia="Arial" w:hAnsi="Arial"/>
          <w:b w:val="false"/>
          <w:bCs w:val="false"/>
          <w:i w:val="false"/>
          <w:iCs w:val="false"/>
          <w:color w:val="2C2C2A"/>
          <w:sz w:val="22"/>
          <w:szCs w:val="22"/>
        </w:rPr>
        <w:t xml:space="preserve">Synthetic monitoring: every external integration (each consumer institution, each external sanctions feed, each AI inference endpoint) is monitored via synthetic probes from both operational sites, with alerts on probe failure rather than only on volume drop. Synthetic probes also test the user-facing applications’ primary user workflows from the user’s perspective.</w:t>
      </w:r>
    </w:p>
    <w:p>
      <w:pPr>
        <w:pStyle w:val="Heading2"/>
        <w:spacing w:after="160" w:before="320"/>
      </w:pPr>
      <w:r>
        <w:rPr>
          <w:rFonts w:ascii="Arial" w:cs="Arial" w:eastAsia="Arial" w:hAnsi="Arial"/>
          <w:b/>
          <w:bCs/>
          <w:color w:val="1A1A1A"/>
          <w:sz w:val="28"/>
          <w:szCs w:val="28"/>
        </w:rPr>
        <w:t xml:space="preserve">Reliability engineering</w:t>
      </w:r>
    </w:p>
    <w:p>
      <w:pPr>
        <w:spacing w:after="140" w:line="320"/>
        <w:jc w:val="both"/>
      </w:pPr>
      <w:r>
        <w:rPr>
          <w:rFonts w:ascii="Arial" w:cs="Arial" w:eastAsia="Arial" w:hAnsi="Arial"/>
          <w:b w:val="false"/>
          <w:bCs w:val="false"/>
          <w:i w:val="false"/>
          <w:iCs w:val="false"/>
          <w:color w:val="2C2C2A"/>
          <w:sz w:val="22"/>
          <w:szCs w:val="22"/>
        </w:rPr>
        <w:t xml:space="preserve">Service-level objectives are published per service in the platform’s observability surface. Error budgets are computed against the SLOs and tracked monthly; when a service’s error budget for a month is exhausted, the platform’s release management policy halts feature deployments for that service until the budget recovers. This discipline prevents the operational drift that occurs when reliability is treated as someone else’s problem.</w:t>
      </w:r>
    </w:p>
    <w:p>
      <w:pPr>
        <w:spacing w:after="140" w:line="320"/>
        <w:jc w:val="both"/>
      </w:pPr>
      <w:r>
        <w:rPr>
          <w:rFonts w:ascii="Arial" w:cs="Arial" w:eastAsia="Arial" w:hAnsi="Arial"/>
          <w:b w:val="false"/>
          <w:bCs w:val="false"/>
          <w:i w:val="false"/>
          <w:iCs w:val="false"/>
          <w:color w:val="2C2C2A"/>
          <w:sz w:val="22"/>
          <w:szCs w:val="22"/>
        </w:rPr>
        <w:t xml:space="preserve">Chaos engineering exercises run weekly against the staging environment via Litmus, with documented fault scenarios covering pod loss, network partition, dependency unavailability, certificate expiration, and resource exhaustion. Quarterly game-day exercises run against the staging environment with full operations team participation and post-exercise reviews.</w:t>
      </w:r>
    </w:p>
    <w:p>
      <w:pPr>
        <w:spacing w:after="140" w:line="320"/>
        <w:jc w:val="both"/>
      </w:pPr>
      <w:r>
        <w:rPr>
          <w:rFonts w:ascii="Arial" w:cs="Arial" w:eastAsia="Arial" w:hAnsi="Arial"/>
          <w:b w:val="false"/>
          <w:bCs w:val="false"/>
          <w:i w:val="false"/>
          <w:iCs w:val="false"/>
          <w:color w:val="2C2C2A"/>
          <w:sz w:val="22"/>
          <w:szCs w:val="22"/>
        </w:rPr>
        <w:t xml:space="preserve">Incident response is governed by Google SRE principles. Every production incident produces a post-incident review within five business days, with documented root-cause analysis, action items tracked to completion in the platform’s issue tracker, and review-of-the-review for severity-1 incidents by the consortium technical advisory board. Incident timelines and post-incident reviews for non-sensitive incidents are published to the platform’s public technical surface, supporting transparency.</w:t>
      </w:r>
    </w:p>
    <w:p>
      <w:pPr>
        <w:pStyle w:val="Heading2"/>
        <w:spacing w:after="160" w:before="320"/>
      </w:pPr>
      <w:r>
        <w:rPr>
          <w:rFonts w:ascii="Arial" w:cs="Arial" w:eastAsia="Arial" w:hAnsi="Arial"/>
          <w:b/>
          <w:bCs/>
          <w:color w:val="1A1A1A"/>
          <w:sz w:val="28"/>
          <w:szCs w:val="28"/>
        </w:rPr>
        <w:t xml:space="preserve">Architectural governance</w:t>
      </w:r>
    </w:p>
    <w:p>
      <w:pPr>
        <w:spacing w:after="140" w:line="320"/>
        <w:jc w:val="both"/>
      </w:pPr>
      <w:r>
        <w:rPr>
          <w:rFonts w:ascii="Arial" w:cs="Arial" w:eastAsia="Arial" w:hAnsi="Arial"/>
          <w:b w:val="false"/>
          <w:bCs w:val="false"/>
          <w:i w:val="false"/>
          <w:iCs w:val="false"/>
          <w:color w:val="2C2C2A"/>
          <w:sz w:val="22"/>
          <w:szCs w:val="22"/>
        </w:rPr>
        <w:t xml:space="preserve">Architectural Decision Records (ADRs) are version-controlled in the platform’s public technical repository. Every consequential architecture decision — a new technology choice, a material change to an existing technology choice, a change to a cross-cutting concern, a deprecation of a public interface — produces an ADR with the structured pattern of context, decision, consequences, and alternatives considered. ADRs are searchable and form the institutional memory that protects against repeating prior debates.</w:t>
      </w:r>
    </w:p>
    <w:p>
      <w:pPr>
        <w:spacing w:after="140" w:line="320"/>
        <w:jc w:val="both"/>
      </w:pPr>
      <w:r>
        <w:rPr>
          <w:rFonts w:ascii="Arial" w:cs="Arial" w:eastAsia="Arial" w:hAnsi="Arial"/>
          <w:b w:val="false"/>
          <w:bCs w:val="false"/>
          <w:i w:val="false"/>
          <w:iCs w:val="false"/>
          <w:color w:val="2C2C2A"/>
          <w:sz w:val="22"/>
          <w:szCs w:val="22"/>
        </w:rPr>
        <w:t xml:space="preserve">A quarterly Architecture Review Board convenes with representation from the platform engineering team, the consortium’s technical advisory function, and the verification engineering team. The board reviews proposed ADRs, examines the state of technical debt, evaluates the platform’s technology roadmap against the changing external landscape, and produces a quarterly architectural report shared with the consortium and the funders.</w:t>
      </w:r>
    </w:p>
    <w:p>
      <w:pPr>
        <w:pStyle w:val="Heading2"/>
        <w:spacing w:after="160" w:before="320"/>
      </w:pPr>
      <w:r>
        <w:rPr>
          <w:rFonts w:ascii="Arial" w:cs="Arial" w:eastAsia="Arial" w:hAnsi="Arial"/>
          <w:b/>
          <w:bCs/>
          <w:color w:val="1A1A1A"/>
          <w:sz w:val="28"/>
          <w:szCs w:val="28"/>
        </w:rPr>
        <w:t xml:space="preserve">Open-source commitments</w:t>
      </w:r>
    </w:p>
    <w:p>
      <w:pPr>
        <w:spacing w:after="140" w:line="320"/>
        <w:jc w:val="both"/>
      </w:pPr>
      <w:r>
        <w:rPr>
          <w:rFonts w:ascii="Arial" w:cs="Arial" w:eastAsia="Arial" w:hAnsi="Arial"/>
          <w:b w:val="false"/>
          <w:bCs w:val="false"/>
          <w:i w:val="false"/>
          <w:iCs w:val="false"/>
          <w:color w:val="2C2C2A"/>
          <w:sz w:val="22"/>
          <w:szCs w:val="22"/>
        </w:rPr>
        <w:t xml:space="preserve">Non-sensitive components of the platform are open-sourced under permissive licence (Apache 2.0). Components committed to open source include the platform’s data-model schemas, the BODS export adapter, the verification engine’s pattern-detection signatures (without the trained classifier weights, which depend on confidential operational data), the cryptographic substrate adapters, the consumer integration adapters in genericised form, and the user-facing application frontends. The discipline of open-sourcing forces the codebase to a clarity and quality standard it might otherwise drift below, and it produces international credibility that funders track.</w:t>
      </w:r>
    </w:p>
    <w:p>
      <w:pPr>
        <w:spacing w:after="140" w:line="320"/>
        <w:jc w:val="both"/>
      </w:pPr>
      <w:r>
        <w:rPr>
          <w:rFonts w:ascii="Arial" w:cs="Arial" w:eastAsia="Arial" w:hAnsi="Arial"/>
          <w:b w:val="false"/>
          <w:bCs w:val="false"/>
          <w:i w:val="false"/>
          <w:iCs w:val="false"/>
          <w:color w:val="2C2C2A"/>
          <w:sz w:val="22"/>
          <w:szCs w:val="22"/>
        </w:rPr>
        <w:t xml:space="preserve">Components that remain closed include the trained pattern-detection classifier weights, the platform’s deployment configurations and secrets, the consortium’s internal operational documentation, and any code or configuration whose disclosure would materially aid adversarial circumvention of the verification engine.</w:t>
      </w:r>
    </w:p>
    <w:p>
      <w:pPr>
        <w:pStyle w:val="Heading2"/>
        <w:spacing w:after="160" w:before="320"/>
      </w:pPr>
      <w:r>
        <w:rPr>
          <w:rFonts w:ascii="Arial" w:cs="Arial" w:eastAsia="Arial" w:hAnsi="Arial"/>
          <w:b/>
          <w:bCs/>
          <w:color w:val="1A1A1A"/>
          <w:sz w:val="28"/>
          <w:szCs w:val="28"/>
        </w:rPr>
        <w:t xml:space="preserve">Compliance posture</w:t>
      </w:r>
    </w:p>
    <w:p>
      <w:pPr>
        <w:spacing w:after="140" w:line="320"/>
        <w:jc w:val="both"/>
      </w:pPr>
      <w:r>
        <w:rPr>
          <w:rFonts w:ascii="Arial" w:cs="Arial" w:eastAsia="Arial" w:hAnsi="Arial"/>
          <w:b w:val="false"/>
          <w:bCs w:val="false"/>
          <w:i w:val="false"/>
          <w:iCs w:val="false"/>
          <w:color w:val="2C2C2A"/>
          <w:sz w:val="22"/>
          <w:szCs w:val="22"/>
        </w:rPr>
        <w:t xml:space="preserve">Compliance posture is aligned with named international standards, with formal audit attestation rather than self-claim.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Standard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Alignment commitment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ISO/IEC 27001</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Information Security Management System certification within the second year of operation. Initial audit by an accredited certification body.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SOC 2 Type II</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Annual SOC 2 Type II report from the third year of operation, covering security, availability, and confidentiality.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 NIS2 Directive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Alignment with the technical and operational requirements applicable to critical infrastructure, even though Cameroon is outside EU jurisdiction. Alignment produces trust with European partners.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FATF Recommendation 24</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Compliance with the standard on transparency and beneficial ownership of legal persons (the recommendation the platform itself instantiates at scale).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GDPR (EU 2016/679)</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Alignment for processing of personal data of EU subjects, relevant for diaspora declarants resident in the EU.</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Cameroon Law 2010/012</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Full compliance with the law on cybersecurity and cybercrime.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OHADA Uniform Acts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compliance with the Uniform Act on commercial companies and economic interest groupings (as amended by the implementing legislation drafted in parallel with the build).</w:t>
            </w:r>
          </w:p>
        </w:tc>
      </w:tr>
    </w:tbl>
    <w:p>
      <w:pPr>
        <w:pStyle w:val="Heading1"/>
        <w:pageBreakBefore/>
        <w:spacing w:after="240" w:before="480"/>
      </w:pPr>
      <w:r>
        <w:rPr>
          <w:rFonts w:ascii="Arial" w:cs="Arial" w:eastAsia="Arial" w:hAnsi="Arial"/>
          <w:b/>
          <w:bCs/>
          <w:color w:val="1A1A1A"/>
          <w:sz w:val="36"/>
          <w:szCs w:val="36"/>
        </w:rPr>
        <w:t xml:space="preserve">Performance and Scale Targets</w:t>
      </w:r>
    </w:p>
    <w:p>
      <w:pPr>
        <w:pStyle w:val="Heading2"/>
        <w:spacing w:after="160" w:before="320"/>
      </w:pPr>
      <w:r>
        <w:rPr>
          <w:rFonts w:ascii="Arial" w:cs="Arial" w:eastAsia="Arial" w:hAnsi="Arial"/>
          <w:b/>
          <w:bCs/>
          <w:color w:val="1A1A1A"/>
          <w:sz w:val="28"/>
          <w:szCs w:val="28"/>
        </w:rPr>
        <w:t xml:space="preserve">Service-level objectives</w:t>
      </w:r>
    </w:p>
    <w:p>
      <w:pPr>
        <w:spacing w:after="140" w:line="320"/>
        <w:jc w:val="both"/>
      </w:pPr>
      <w:r>
        <w:rPr>
          <w:rFonts w:ascii="Arial" w:cs="Arial" w:eastAsia="Arial" w:hAnsi="Arial"/>
          <w:b w:val="false"/>
          <w:bCs w:val="false"/>
          <w:i w:val="false"/>
          <w:iCs w:val="false"/>
          <w:color w:val="2C2C2A"/>
          <w:sz w:val="22"/>
          <w:szCs w:val="22"/>
        </w:rPr>
        <w:t xml:space="preserve">The platform commits to the service-level objectives documented below. The objectives are stated as p99 latencies measured at the API surface, against the production traffic mix in steady state. They are calibrated against the operational requirements of the consumer integrations and against engineering achievability with the architectural choices documented in earlier chapters.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26"/>
      </w:tblGrid>
      <w:tr>
        <w:tc>
          <w:tcPr>
            <w:tcW w:type="dxa" w:w="3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Operation</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p99 latency</w:t>
            </w:r>
          </w:p>
        </w:tc>
        <w:tc>
          <w:tcPr>
            <w:tcW w:type="dxa" w:w="3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Availability</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Public-tier lookup (citizen, journalist, due-diligence)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500 ms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99.95%</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Restricted-tier lookup (Officer Console, ARMP webhook, bank KYC)</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2 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99.95%</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 chain traversal to depth 10 (Investigation Workbench)</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10 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99.9%</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submission with full automated verification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30 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99.9%</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Real-time webhook fanout to consumers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500 ms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99.95%</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Bulk BODS export of the full public tier</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4 hours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 (scheduled)</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Disaster recovery: RPO (recovery point)</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minutes maximum data loss</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Disaster recovery: RTO (recovery time)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hour to warm standby</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w:t>
            </w:r>
          </w:p>
        </w:tc>
      </w:tr>
    </w:tbl>
    <w:p>
      <w:pPr>
        <w:pStyle w:val="Heading2"/>
        <w:spacing w:after="160" w:before="320"/>
      </w:pPr>
      <w:r>
        <w:rPr>
          <w:rFonts w:ascii="Arial" w:cs="Arial" w:eastAsia="Arial" w:hAnsi="Arial"/>
          <w:b/>
          <w:bCs/>
          <w:color w:val="1A1A1A"/>
          <w:sz w:val="28"/>
          <w:szCs w:val="28"/>
        </w:rPr>
        <w:t xml:space="preserve">Capacity assumptions</w:t>
      </w:r>
    </w:p>
    <w:p>
      <w:pPr>
        <w:spacing w:after="140" w:line="320"/>
        <w:jc w:val="both"/>
      </w:pPr>
      <w:r>
        <w:rPr>
          <w:rFonts w:ascii="Arial" w:cs="Arial" w:eastAsia="Arial" w:hAnsi="Arial"/>
          <w:b w:val="false"/>
          <w:bCs w:val="false"/>
          <w:i w:val="false"/>
          <w:iCs w:val="false"/>
          <w:color w:val="2C2C2A"/>
          <w:sz w:val="22"/>
          <w:szCs w:val="22"/>
        </w:rPr>
        <w:t xml:space="preserve">The platform is sized against the following capacity assumptions for the first three years of operation. Re-sizing of any layer is performed quarterly based on measured load against the assumptions.</w:t>
      </w:r>
    </w:p>
    <w:p>
      <w:pPr>
        <w:pStyle w:val="ListParagraph"/>
        <w:numPr>
          <w:ilvl w:val="0"/>
          <w:numId w:val="2"/>
        </w:numPr>
        <w:spacing w:after="80" w:line="300"/>
      </w:pPr>
      <w:r>
        <w:rPr>
          <w:rFonts w:ascii="Arial" w:cs="Arial" w:eastAsia="Arial" w:hAnsi="Arial"/>
          <w:color w:val="2C2C2A"/>
          <w:sz w:val="22"/>
          <w:szCs w:val="22"/>
        </w:rPr>
        <w:t xml:space="preserve">Active legal entities in the registry: 300,000 to 500,000.</w:t>
      </w:r>
    </w:p>
    <w:p>
      <w:pPr>
        <w:pStyle w:val="ListParagraph"/>
        <w:numPr>
          <w:ilvl w:val="0"/>
          <w:numId w:val="2"/>
        </w:numPr>
        <w:spacing w:after="80" w:line="300"/>
      </w:pPr>
      <w:r>
        <w:rPr>
          <w:rFonts w:ascii="Arial" w:cs="Arial" w:eastAsia="Arial" w:hAnsi="Arial"/>
          <w:color w:val="2C2C2A"/>
          <w:sz w:val="22"/>
          <w:szCs w:val="22"/>
        </w:rPr>
        <w:t xml:space="preserve">New declarations per year: 50,000 to 100,000 (new incorporations plus change-of-control declarations).</w:t>
      </w:r>
    </w:p>
    <w:p>
      <w:pPr>
        <w:pStyle w:val="ListParagraph"/>
        <w:numPr>
          <w:ilvl w:val="0"/>
          <w:numId w:val="2"/>
        </w:numPr>
        <w:spacing w:after="80" w:line="300"/>
      </w:pPr>
      <w:r>
        <w:rPr>
          <w:rFonts w:ascii="Arial" w:cs="Arial" w:eastAsia="Arial" w:hAnsi="Arial"/>
          <w:color w:val="2C2C2A"/>
          <w:sz w:val="22"/>
          <w:szCs w:val="22"/>
        </w:rPr>
        <w:t xml:space="preserve">Total declarations cumulative after three years: 250,000 to 450,000.</w:t>
      </w:r>
    </w:p>
    <w:p>
      <w:pPr>
        <w:pStyle w:val="ListParagraph"/>
        <w:numPr>
          <w:ilvl w:val="0"/>
          <w:numId w:val="2"/>
        </w:numPr>
        <w:spacing w:after="80" w:line="300"/>
      </w:pPr>
      <w:r>
        <w:rPr>
          <w:rFonts w:ascii="Arial" w:cs="Arial" w:eastAsia="Arial" w:hAnsi="Arial"/>
          <w:color w:val="2C2C2A"/>
          <w:sz w:val="22"/>
          <w:szCs w:val="22"/>
        </w:rPr>
        <w:t xml:space="preserve">Verification engine throughput in steady state: 200 to 500 declarations per day in peak periods (year-end and beginning-of-year administrative cycles).</w:t>
      </w:r>
    </w:p>
    <w:p>
      <w:pPr>
        <w:pStyle w:val="ListParagraph"/>
        <w:numPr>
          <w:ilvl w:val="0"/>
          <w:numId w:val="2"/>
        </w:numPr>
        <w:spacing w:after="80" w:line="300"/>
      </w:pPr>
      <w:r>
        <w:rPr>
          <w:rFonts w:ascii="Arial" w:cs="Arial" w:eastAsia="Arial" w:hAnsi="Arial"/>
          <w:color w:val="2C2C2A"/>
          <w:sz w:val="22"/>
          <w:szCs w:val="22"/>
        </w:rPr>
        <w:t xml:space="preserve">ARMP webhook calls per day: 1,000 to 5,000 (every bid on every tender).</w:t>
      </w:r>
    </w:p>
    <w:p>
      <w:pPr>
        <w:pStyle w:val="ListParagraph"/>
        <w:numPr>
          <w:ilvl w:val="0"/>
          <w:numId w:val="2"/>
        </w:numPr>
        <w:spacing w:after="80" w:line="300"/>
      </w:pPr>
      <w:r>
        <w:rPr>
          <w:rFonts w:ascii="Arial" w:cs="Arial" w:eastAsia="Arial" w:hAnsi="Arial"/>
          <w:color w:val="2C2C2A"/>
          <w:sz w:val="22"/>
          <w:szCs w:val="22"/>
        </w:rPr>
        <w:t xml:space="preserve">ANIF goAML enrichment calls per day: 200 to 800.</w:t>
      </w:r>
    </w:p>
    <w:p>
      <w:pPr>
        <w:pStyle w:val="ListParagraph"/>
        <w:numPr>
          <w:ilvl w:val="0"/>
          <w:numId w:val="2"/>
        </w:numPr>
        <w:spacing w:after="80" w:line="300"/>
      </w:pPr>
      <w:r>
        <w:rPr>
          <w:rFonts w:ascii="Arial" w:cs="Arial" w:eastAsia="Arial" w:hAnsi="Arial"/>
          <w:color w:val="2C2C2A"/>
          <w:sz w:val="22"/>
          <w:szCs w:val="22"/>
        </w:rPr>
        <w:t xml:space="preserve">DGI bulk export size: 50 MB to 200 MB per daily diff.</w:t>
      </w:r>
    </w:p>
    <w:p>
      <w:pPr>
        <w:pStyle w:val="ListParagraph"/>
        <w:numPr>
          <w:ilvl w:val="0"/>
          <w:numId w:val="2"/>
        </w:numPr>
        <w:spacing w:after="80" w:line="300"/>
      </w:pPr>
      <w:r>
        <w:rPr>
          <w:rFonts w:ascii="Arial" w:cs="Arial" w:eastAsia="Arial" w:hAnsi="Arial"/>
          <w:color w:val="2C2C2A"/>
          <w:sz w:val="22"/>
          <w:szCs w:val="22"/>
        </w:rPr>
        <w:t xml:space="preserve">Bank KYC lookups per day: 50,000 to 200,000 (every account opening and every periodic re-screening across the Cameroonian banking system).</w:t>
      </w:r>
    </w:p>
    <w:p>
      <w:pPr>
        <w:pStyle w:val="ListParagraph"/>
        <w:numPr>
          <w:ilvl w:val="0"/>
          <w:numId w:val="2"/>
        </w:numPr>
        <w:spacing w:after="80" w:line="300"/>
      </w:pPr>
      <w:r>
        <w:rPr>
          <w:rFonts w:ascii="Arial" w:cs="Arial" w:eastAsia="Arial" w:hAnsi="Arial"/>
          <w:color w:val="2C2C2A"/>
          <w:sz w:val="22"/>
          <w:szCs w:val="22"/>
        </w:rPr>
        <w:t xml:space="preserve">Public Portal lookups per day: 10,000 to 100,000 (journalists and citizens, with surges around politically salient news events).</w:t>
      </w:r>
    </w:p>
    <w:p>
      <w:pPr>
        <w:pStyle w:val="Heading2"/>
        <w:spacing w:after="160" w:before="320"/>
      </w:pPr>
      <w:r>
        <w:rPr>
          <w:rFonts w:ascii="Arial" w:cs="Arial" w:eastAsia="Arial" w:hAnsi="Arial"/>
          <w:b/>
          <w:bCs/>
          <w:color w:val="1A1A1A"/>
          <w:sz w:val="28"/>
          <w:szCs w:val="28"/>
        </w:rPr>
        <w:t xml:space="preserve">Scaling characteristics</w:t>
      </w:r>
    </w:p>
    <w:p>
      <w:pPr>
        <w:spacing w:after="140" w:line="320"/>
        <w:jc w:val="both"/>
      </w:pPr>
      <w:r>
        <w:rPr>
          <w:rFonts w:ascii="Arial" w:cs="Arial" w:eastAsia="Arial" w:hAnsi="Arial"/>
          <w:b w:val="false"/>
          <w:bCs w:val="false"/>
          <w:i w:val="false"/>
          <w:iCs w:val="false"/>
          <w:color w:val="2C2C2A"/>
          <w:sz w:val="22"/>
          <w:szCs w:val="22"/>
        </w:rPr>
        <w:t xml:space="preserve">Each layer is engineered for horizontal scalability within its operating envelope. The verification engine’s pipeline stages are stateless and horizontally scalable; capacity is added by adding pipeline-runner pods. The API gateway is stateless and horizontally scalable. The Layer 2 services are stateless except for the workflow service (which delegates state to Temporal); capacity is added per service. The storage substrate is sized for the operating envelope without horizontal sharding; resizing of PostgreSQL or Neo4j capacity is a planned operation rather than a rapid scaling response. Beyond a 10x increase over the upper bound of the capacity assumptions, the storage substrate would require re-architecture; the platform’s operational envelope is bounded well below this threshold.</w:t>
      </w:r>
    </w:p>
    <w:p>
      <w:pPr>
        <w:pStyle w:val="Heading1"/>
        <w:pageBreakBefore/>
        <w:spacing w:after="240" w:before="480"/>
      </w:pPr>
      <w:r>
        <w:rPr>
          <w:rFonts w:ascii="Arial" w:cs="Arial" w:eastAsia="Arial" w:hAnsi="Arial"/>
          <w:b/>
          <w:bCs/>
          <w:color w:val="1A1A1A"/>
          <w:sz w:val="36"/>
          <w:szCs w:val="36"/>
        </w:rPr>
        <w:t xml:space="preserve">Security and Compliance Posture</w:t>
      </w:r>
    </w:p>
    <w:p>
      <w:pPr>
        <w:pStyle w:val="Heading2"/>
        <w:spacing w:after="160" w:before="320"/>
      </w:pPr>
      <w:r>
        <w:rPr>
          <w:rFonts w:ascii="Arial" w:cs="Arial" w:eastAsia="Arial" w:hAnsi="Arial"/>
          <w:b/>
          <w:bCs/>
          <w:color w:val="1A1A1A"/>
          <w:sz w:val="28"/>
          <w:szCs w:val="28"/>
        </w:rPr>
        <w:t xml:space="preserve">Threat model</w:t>
      </w:r>
    </w:p>
    <w:p>
      <w:pPr>
        <w:spacing w:after="140" w:line="320"/>
        <w:jc w:val="both"/>
      </w:pPr>
      <w:r>
        <w:rPr>
          <w:rFonts w:ascii="Arial" w:cs="Arial" w:eastAsia="Arial" w:hAnsi="Arial"/>
          <w:b w:val="false"/>
          <w:bCs w:val="false"/>
          <w:i w:val="false"/>
          <w:iCs w:val="false"/>
          <w:color w:val="2C2C2A"/>
          <w:sz w:val="22"/>
          <w:szCs w:val="22"/>
        </w:rPr>
        <w:t xml:space="preserve">The platform’s threat model is documented per service using the STRIDE framework. The principal threat classes that the platform engineers against:</w:t>
      </w:r>
    </w:p>
    <w:p>
      <w:pPr>
        <w:pStyle w:val="ListParagraph"/>
        <w:numPr>
          <w:ilvl w:val="0"/>
          <w:numId w:val="2"/>
        </w:numPr>
        <w:spacing w:after="100" w:line="300"/>
      </w:pPr>
      <w:r>
        <w:rPr>
          <w:rFonts w:ascii="Arial" w:cs="Arial" w:eastAsia="Arial" w:hAnsi="Arial"/>
          <w:b/>
          <w:bCs/>
          <w:color w:val="1A1A1A"/>
          <w:sz w:val="22"/>
          <w:szCs w:val="22"/>
        </w:rPr>
        <w:t xml:space="preserve">Hostile internal actors. </w:t>
      </w:r>
      <w:r>
        <w:rPr>
          <w:rFonts w:ascii="Arial" w:cs="Arial" w:eastAsia="Arial" w:hAnsi="Arial"/>
          <w:color w:val="2C2C2A"/>
          <w:sz w:val="22"/>
          <w:szCs w:val="22"/>
        </w:rPr>
        <w:t xml:space="preserve">Insiders with platform access attempting to alter records, disclose protected information, or exfiltrate sensitive data. Mitigation: separation of duties, threshold-signed approval for sensitive operations, independent Audit Service, cryptographic audit trail, hardware-token second factor.</w:t>
      </w:r>
    </w:p>
    <w:p>
      <w:pPr>
        <w:pStyle w:val="ListParagraph"/>
        <w:numPr>
          <w:ilvl w:val="0"/>
          <w:numId w:val="2"/>
        </w:numPr>
        <w:spacing w:after="100" w:line="300"/>
      </w:pPr>
      <w:r>
        <w:rPr>
          <w:rFonts w:ascii="Arial" w:cs="Arial" w:eastAsia="Arial" w:hAnsi="Arial"/>
          <w:b/>
          <w:bCs/>
          <w:color w:val="1A1A1A"/>
          <w:sz w:val="22"/>
          <w:szCs w:val="22"/>
        </w:rPr>
        <w:t xml:space="preserve">Hostile external actors. </w:t>
      </w:r>
      <w:r>
        <w:rPr>
          <w:rFonts w:ascii="Arial" w:cs="Arial" w:eastAsia="Arial" w:hAnsi="Arial"/>
          <w:color w:val="2C2C2A"/>
          <w:sz w:val="22"/>
          <w:szCs w:val="22"/>
        </w:rPr>
        <w:t xml:space="preserve">Cybercriminals attempting to breach the platform for financial gain, foreign state actors attempting to exfiltrate sensitive ownership data, or hacktivists attempting to disrupt the platform. Mitigation: defence in depth at network and application layers, continuous vulnerability scanning, annual red-team engagement, bug bounty programme post-launch.</w:t>
      </w:r>
    </w:p>
    <w:p>
      <w:pPr>
        <w:pStyle w:val="ListParagraph"/>
        <w:numPr>
          <w:ilvl w:val="0"/>
          <w:numId w:val="2"/>
        </w:numPr>
        <w:spacing w:after="100" w:line="300"/>
      </w:pPr>
      <w:r>
        <w:rPr>
          <w:rFonts w:ascii="Arial" w:cs="Arial" w:eastAsia="Arial" w:hAnsi="Arial"/>
          <w:b/>
          <w:bCs/>
          <w:color w:val="1A1A1A"/>
          <w:sz w:val="22"/>
          <w:szCs w:val="22"/>
        </w:rPr>
        <w:t xml:space="preserve">Adversarial declarants. </w:t>
      </w:r>
      <w:r>
        <w:rPr>
          <w:rFonts w:ascii="Arial" w:cs="Arial" w:eastAsia="Arial" w:hAnsi="Arial"/>
          <w:color w:val="2C2C2A"/>
          <w:sz w:val="22"/>
          <w:szCs w:val="22"/>
        </w:rPr>
        <w:t xml:space="preserve">Persons attempting to submit false declarations to defeat the verification engine’s detection. Mitigation: the verification engine itself, the supervised pattern-detection classifier trained on confirmed adversarial examples, and the whistleblower intake.</w:t>
      </w:r>
    </w:p>
    <w:p>
      <w:pPr>
        <w:pStyle w:val="ListParagraph"/>
        <w:numPr>
          <w:ilvl w:val="0"/>
          <w:numId w:val="2"/>
        </w:numPr>
        <w:spacing w:after="100" w:line="300"/>
      </w:pPr>
      <w:r>
        <w:rPr>
          <w:rFonts w:ascii="Arial" w:cs="Arial" w:eastAsia="Arial" w:hAnsi="Arial"/>
          <w:b/>
          <w:bCs/>
          <w:color w:val="1A1A1A"/>
          <w:sz w:val="22"/>
          <w:szCs w:val="22"/>
        </w:rPr>
        <w:t xml:space="preserve">Politically motivated capture attempts. </w:t>
      </w:r>
      <w:r>
        <w:rPr>
          <w:rFonts w:ascii="Arial" w:cs="Arial" w:eastAsia="Arial" w:hAnsi="Arial"/>
          <w:color w:val="2C2C2A"/>
          <w:sz w:val="22"/>
          <w:szCs w:val="22"/>
        </w:rPr>
        <w:t xml:space="preserve">Single factions within the state apparatus attempting to subvert the platform’s output to serve factional interests. Mitigation: multi-organisation consortium with non-state seats, statutory public-tier opening, external sovereignty-independent anchoring, threshold-signed approval for sensitive operations, independent audit.</w:t>
      </w:r>
    </w:p>
    <w:p>
      <w:pPr>
        <w:pStyle w:val="ListParagraph"/>
        <w:numPr>
          <w:ilvl w:val="0"/>
          <w:numId w:val="2"/>
        </w:numPr>
        <w:spacing w:after="100" w:line="300"/>
      </w:pPr>
      <w:r>
        <w:rPr>
          <w:rFonts w:ascii="Arial" w:cs="Arial" w:eastAsia="Arial" w:hAnsi="Arial"/>
          <w:b/>
          <w:bCs/>
          <w:color w:val="1A1A1A"/>
          <w:sz w:val="22"/>
          <w:szCs w:val="22"/>
        </w:rPr>
        <w:t xml:space="preserve">Supply chain compromise. </w:t>
      </w:r>
      <w:r>
        <w:rPr>
          <w:rFonts w:ascii="Arial" w:cs="Arial" w:eastAsia="Arial" w:hAnsi="Arial"/>
          <w:color w:val="2C2C2A"/>
          <w:sz w:val="22"/>
          <w:szCs w:val="22"/>
        </w:rPr>
        <w:t xml:space="preserve">Third-party dependencies, hardware vendors, or service providers compromised by adversaries. Mitigation: SLSA Level 4 supply chain posture, signed artefacts, HSM hardware-rooted trust, dependency monitoring.</w:t>
      </w:r>
    </w:p>
    <w:p>
      <w:pPr>
        <w:pStyle w:val="Heading2"/>
        <w:spacing w:after="160" w:before="320"/>
      </w:pPr>
      <w:r>
        <w:rPr>
          <w:rFonts w:ascii="Arial" w:cs="Arial" w:eastAsia="Arial" w:hAnsi="Arial"/>
          <w:b/>
          <w:bCs/>
          <w:color w:val="1A1A1A"/>
          <w:sz w:val="28"/>
          <w:szCs w:val="28"/>
        </w:rPr>
        <w:t xml:space="preserve">Application security</w:t>
      </w:r>
    </w:p>
    <w:p>
      <w:pPr>
        <w:spacing w:after="140" w:line="320"/>
        <w:jc w:val="both"/>
      </w:pPr>
      <w:r>
        <w:rPr>
          <w:rFonts w:ascii="Arial" w:cs="Arial" w:eastAsia="Arial" w:hAnsi="Arial"/>
          <w:b w:val="false"/>
          <w:bCs w:val="false"/>
          <w:i w:val="false"/>
          <w:iCs w:val="false"/>
          <w:color w:val="2C2C2A"/>
          <w:sz w:val="22"/>
          <w:szCs w:val="22"/>
        </w:rPr>
        <w:t xml:space="preserve">Static application security testing runs on every pull request via Semgrep with rulesets calibrated to the languages used in the platform, and via CodeQL for deeper inter-procedural analysis. Findings above a configured severity threshold block merge. Dynamic application security testing runs against the staging environment continuously via OWASP ZAP with platform-specific authentication recipes. Annual penetration testing is performed by an independent firm certified to industry standards (CREST or equivalent), with reports shared with the consortium technical advisory function.</w:t>
      </w:r>
    </w:p>
    <w:p>
      <w:pPr>
        <w:spacing w:after="140" w:line="320"/>
        <w:jc w:val="both"/>
      </w:pPr>
      <w:r>
        <w:rPr>
          <w:rFonts w:ascii="Arial" w:cs="Arial" w:eastAsia="Arial" w:hAnsi="Arial"/>
          <w:b w:val="false"/>
          <w:bCs w:val="false"/>
          <w:i w:val="false"/>
          <w:iCs w:val="false"/>
          <w:color w:val="2C2C2A"/>
          <w:sz w:val="22"/>
          <w:szCs w:val="22"/>
        </w:rPr>
        <w:t xml:space="preserve">A bug bounty programme operates post-launch through HackerOne (or equivalent vendor) with a published responsible disclosure policy, defined scope, and graduated reward tiers. The programme is publicly announced as part of the launch communications strategy, both because it materially improves security posture and because it produces international credibility.</w:t>
      </w:r>
    </w:p>
    <w:p>
      <w:pPr>
        <w:pStyle w:val="Heading2"/>
        <w:spacing w:after="160" w:before="320"/>
      </w:pPr>
      <w:r>
        <w:rPr>
          <w:rFonts w:ascii="Arial" w:cs="Arial" w:eastAsia="Arial" w:hAnsi="Arial"/>
          <w:b/>
          <w:bCs/>
          <w:color w:val="1A1A1A"/>
          <w:sz w:val="28"/>
          <w:szCs w:val="28"/>
        </w:rPr>
        <w:t xml:space="preserve">Data protection</w:t>
      </w:r>
    </w:p>
    <w:p>
      <w:pPr>
        <w:spacing w:after="140" w:line="320"/>
        <w:jc w:val="both"/>
      </w:pPr>
      <w:r>
        <w:rPr>
          <w:rFonts w:ascii="Arial" w:cs="Arial" w:eastAsia="Arial" w:hAnsi="Arial"/>
          <w:b w:val="false"/>
          <w:bCs w:val="false"/>
          <w:i w:val="false"/>
          <w:iCs w:val="false"/>
          <w:color w:val="2C2C2A"/>
          <w:sz w:val="22"/>
          <w:szCs w:val="22"/>
        </w:rPr>
        <w:t xml:space="preserve">Personal data protection is aligned with Cameroonian Law 2010/012 on cybersecurity and cybercrime, with the EU General Data Protection Regulation where personal data of EU subjects is processed (relevant for diaspora declarants), and with the principles documented in the African Union Convention on Cyber Security and Personal Data Protection (the Malabo Convention).</w:t>
      </w:r>
    </w:p>
    <w:p>
      <w:pPr>
        <w:spacing w:after="140" w:line="320"/>
        <w:jc w:val="both"/>
      </w:pPr>
      <w:r>
        <w:rPr>
          <w:rFonts w:ascii="Arial" w:cs="Arial" w:eastAsia="Arial" w:hAnsi="Arial"/>
          <w:b w:val="false"/>
          <w:bCs w:val="false"/>
          <w:i w:val="false"/>
          <w:iCs w:val="false"/>
          <w:color w:val="2C2C2A"/>
          <w:sz w:val="22"/>
          <w:szCs w:val="22"/>
        </w:rPr>
        <w:t xml:space="preserve">Specific data-protection commitments include: minimisation (the platform collects only the data necessary for its stated purposes, with the purposes documented per data category); access logging (every read of personal data is logged, with the logs themselves protected); declarant rights (declarants can request access to their own canonical record, request correction, request information about who has accessed their data); statutory retention (personal data is retained only as long as the statutory mandate requires, with documented retention periods per data class and automated purge at end of retention); cross-border transfer governance (personal data leaving Cameroon for Tier B inference is pseudonymised at the gateway, with the operational and legal grounds documented and reviewable).</w:t>
      </w:r>
    </w:p>
    <w:p>
      <w:pPr>
        <w:pStyle w:val="Heading1"/>
        <w:pageBreakBefore/>
        <w:spacing w:after="240" w:before="480"/>
      </w:pPr>
      <w:r>
        <w:rPr>
          <w:rFonts w:ascii="Arial" w:cs="Arial" w:eastAsia="Arial" w:hAnsi="Arial"/>
          <w:b/>
          <w:bCs/>
          <w:color w:val="1A1A1A"/>
          <w:sz w:val="36"/>
          <w:szCs w:val="36"/>
        </w:rPr>
        <w:t xml:space="preserve">Legal Framework Requirements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technical platform cannot operate without a parallel legal framework. The framework must be enacted in parallel with the technical build; an attempt to operate the platform without statutory grounding produces immediate legal challenge that suspends the operational case for the platform’s existence.</w:t>
      </w:r>
    </w:p>
    <w:p>
      <w:pPr>
        <w:pStyle w:val="Heading2"/>
        <w:spacing w:after="160" w:before="320"/>
      </w:pPr>
      <w:r>
        <w:rPr>
          <w:rFonts w:ascii="Arial" w:cs="Arial" w:eastAsia="Arial" w:hAnsi="Arial"/>
          <w:b/>
          <w:bCs/>
          <w:color w:val="1A1A1A"/>
          <w:sz w:val="28"/>
          <w:szCs w:val="28"/>
        </w:rPr>
        <w:t xml:space="preserve">Legislative elements</w:t>
      </w:r>
    </w:p>
    <w:p>
      <w:pPr>
        <w:spacing w:after="140" w:line="320"/>
        <w:jc w:val="both"/>
      </w:pPr>
      <w:r>
        <w:rPr>
          <w:rFonts w:ascii="Arial" w:cs="Arial" w:eastAsia="Arial" w:hAnsi="Arial"/>
          <w:b w:val="false"/>
          <w:bCs w:val="false"/>
          <w:i w:val="false"/>
          <w:iCs w:val="false"/>
          <w:color w:val="2C2C2A"/>
          <w:sz w:val="22"/>
          <w:szCs w:val="22"/>
        </w:rPr>
        <w:t xml:space="preserve">The implementing legal framework comprises the following elements. Each is drafted in parallel with the technical build, with the legislative passage timeline aligned to the build phases documented in the build-sequence chapter.</w:t>
      </w:r>
    </w:p>
    <w:p>
      <w:pPr>
        <w:pStyle w:val="ListParagraph"/>
        <w:numPr>
          <w:ilvl w:val="0"/>
          <w:numId w:val="2"/>
        </w:numPr>
        <w:spacing w:after="100" w:line="300"/>
      </w:pPr>
      <w:r>
        <w:rPr>
          <w:rFonts w:ascii="Arial" w:cs="Arial" w:eastAsia="Arial" w:hAnsi="Arial"/>
          <w:b/>
          <w:bCs/>
          <w:color w:val="1A1A1A"/>
          <w:sz w:val="22"/>
          <w:szCs w:val="22"/>
        </w:rPr>
        <w:t xml:space="preserve">OHADA Uniform Act transposition amendment. </w:t>
      </w:r>
      <w:r>
        <w:rPr>
          <w:rFonts w:ascii="Arial" w:cs="Arial" w:eastAsia="Arial" w:hAnsi="Arial"/>
          <w:color w:val="2C2C2A"/>
          <w:sz w:val="22"/>
          <w:szCs w:val="22"/>
        </w:rPr>
        <w:t xml:space="preserve">An amendment to the Cameroonian transposition of the OHADA Uniform Act on commercial companies and economic interest groupings, establishing the mandatory declaration of beneficial ownership at incorporation, at annual filing, and within thirty days of change of control. The amendment specifies the threshold of beneficial interest at which disclosure is required (initially 10% as a policy choice; the FATF baseline is 25% and Cameroon’s policy choice of a lower threshold is documented in the legislative record as enhancing the platform’s coverage).</w:t>
      </w:r>
    </w:p>
    <w:p>
      <w:pPr>
        <w:pStyle w:val="ListParagraph"/>
        <w:numPr>
          <w:ilvl w:val="0"/>
          <w:numId w:val="2"/>
        </w:numPr>
        <w:spacing w:after="100" w:line="300"/>
      </w:pPr>
      <w:r>
        <w:rPr>
          <w:rFonts w:ascii="Arial" w:cs="Arial" w:eastAsia="Arial" w:hAnsi="Arial"/>
          <w:b/>
          <w:bCs/>
          <w:color w:val="1A1A1A"/>
          <w:sz w:val="22"/>
          <w:szCs w:val="22"/>
        </w:rPr>
        <w:t xml:space="preserve">Penal provisions for false declaration. </w:t>
      </w:r>
      <w:r>
        <w:rPr>
          <w:rFonts w:ascii="Arial" w:cs="Arial" w:eastAsia="Arial" w:hAnsi="Arial"/>
          <w:color w:val="2C2C2A"/>
          <w:sz w:val="22"/>
          <w:szCs w:val="22"/>
        </w:rPr>
        <w:t xml:space="preserve">A dedicated penal provision criminalising the submission of materially false beneficial-ownership declarations, with penalties calibrated against the comparable offences in the Cameroonian penal code (false declaration to a public authority, with aggravated penalties for declarations linked to laundering or sanctions evasion). The penal provision provides the platform with the legal teeth without which administrative fines alone are insufficient deterrent for sophisticated adversaries.</w:t>
      </w:r>
    </w:p>
    <w:p>
      <w:pPr>
        <w:pStyle w:val="ListParagraph"/>
        <w:numPr>
          <w:ilvl w:val="0"/>
          <w:numId w:val="2"/>
        </w:numPr>
        <w:spacing w:after="100" w:line="300"/>
      </w:pPr>
      <w:r>
        <w:rPr>
          <w:rFonts w:ascii="Arial" w:cs="Arial" w:eastAsia="Arial" w:hAnsi="Arial"/>
          <w:b/>
          <w:bCs/>
          <w:color w:val="1A1A1A"/>
          <w:sz w:val="22"/>
          <w:szCs w:val="22"/>
        </w:rPr>
        <w:t xml:space="preserve">Administrative authority for fines. </w:t>
      </w:r>
      <w:r>
        <w:rPr>
          <w:rFonts w:ascii="Arial" w:cs="Arial" w:eastAsia="Arial" w:hAnsi="Arial"/>
          <w:color w:val="2C2C2A"/>
          <w:sz w:val="22"/>
          <w:szCs w:val="22"/>
        </w:rPr>
        <w:t xml:space="preserve">Statutory authority for CFCE, MINFI, and DGI to assess administrative fines for non-declaration, late declaration, and declaration deficiencies, with documented assessment procedures and appeal rights. The administrative fine authority operates as the routine enforcement mechanism, with referral to the penal provision reserved for material adversarial cases.</w:t>
      </w:r>
    </w:p>
    <w:p>
      <w:pPr>
        <w:pStyle w:val="ListParagraph"/>
        <w:numPr>
          <w:ilvl w:val="0"/>
          <w:numId w:val="2"/>
        </w:numPr>
        <w:spacing w:after="100" w:line="300"/>
      </w:pPr>
      <w:r>
        <w:rPr>
          <w:rFonts w:ascii="Arial" w:cs="Arial" w:eastAsia="Arial" w:hAnsi="Arial"/>
          <w:b/>
          <w:bCs/>
          <w:color w:val="1A1A1A"/>
          <w:sz w:val="22"/>
          <w:szCs w:val="22"/>
        </w:rPr>
        <w:t xml:space="preserve">Statutory opening of the public tier. </w:t>
      </w:r>
      <w:r>
        <w:rPr>
          <w:rFonts w:ascii="Arial" w:cs="Arial" w:eastAsia="Arial" w:hAnsi="Arial"/>
          <w:color w:val="2C2C2A"/>
          <w:sz w:val="22"/>
          <w:szCs w:val="22"/>
        </w:rPr>
        <w:t xml:space="preserve">Statutory specification that the public tier of the registry is open by law, not by administrative discretion. The provision identifies the categories of entities whose beneficial ownership is statutorily public (procurement bidders, concession holders, holders of significant real estate as defined) and the legal grounds on which any individual record may be redacted from the public tier (which is a narrow set: protection of an active investigation, protection of a person from documented threat). The provision is the property that prevents the public tier from being quietly closed by administrative discretion at a politically convenient moment.</w:t>
      </w:r>
    </w:p>
    <w:p>
      <w:pPr>
        <w:pStyle w:val="ListParagraph"/>
        <w:numPr>
          <w:ilvl w:val="0"/>
          <w:numId w:val="2"/>
        </w:numPr>
        <w:spacing w:after="100" w:line="300"/>
      </w:pPr>
      <w:r>
        <w:rPr>
          <w:rFonts w:ascii="Arial" w:cs="Arial" w:eastAsia="Arial" w:hAnsi="Arial"/>
          <w:b/>
          <w:bCs/>
          <w:color w:val="1A1A1A"/>
          <w:sz w:val="22"/>
          <w:szCs w:val="22"/>
        </w:rPr>
        <w:t xml:space="preserve">Encrypted-tier governance. </w:t>
      </w:r>
      <w:r>
        <w:rPr>
          <w:rFonts w:ascii="Arial" w:cs="Arial" w:eastAsia="Arial" w:hAnsi="Arial"/>
          <w:color w:val="2C2C2A"/>
          <w:sz w:val="22"/>
          <w:szCs w:val="22"/>
        </w:rPr>
        <w:t xml:space="preserve">Statutory grounding for the encrypted-tier access regime. The provision specifies the categories of records that may be held in the encrypted tier (sitting senior officials and their immediate family, ongoing investigations, national-security-relevant entities) and the procedural and substantive requirements for access (threshold-signed approval, documented justification, judicial oversight in the most sensitive cases).</w:t>
      </w:r>
    </w:p>
    <w:p>
      <w:pPr>
        <w:pStyle w:val="ListParagraph"/>
        <w:numPr>
          <w:ilvl w:val="0"/>
          <w:numId w:val="2"/>
        </w:numPr>
        <w:spacing w:after="100" w:line="300"/>
      </w:pPr>
      <w:r>
        <w:rPr>
          <w:rFonts w:ascii="Arial" w:cs="Arial" w:eastAsia="Arial" w:hAnsi="Arial"/>
          <w:b/>
          <w:bCs/>
          <w:color w:val="1A1A1A"/>
          <w:sz w:val="22"/>
          <w:szCs w:val="22"/>
        </w:rPr>
        <w:t xml:space="preserve">Data protection alignment. </w:t>
      </w:r>
      <w:r>
        <w:rPr>
          <w:rFonts w:ascii="Arial" w:cs="Arial" w:eastAsia="Arial" w:hAnsi="Arial"/>
          <w:color w:val="2C2C2A"/>
          <w:sz w:val="22"/>
          <w:szCs w:val="22"/>
        </w:rPr>
        <w:t xml:space="preserve">Updates to Law 2010/012 or a dedicated personal-data-protection law aligning Cameroon’s framework with international standards. The platform’s operations require that data subjects have defined rights and that data processors operate under defined obligations; the current Cameroonian framework is partial.</w:t>
      </w:r>
    </w:p>
    <w:p>
      <w:pPr>
        <w:pStyle w:val="ListParagraph"/>
        <w:numPr>
          <w:ilvl w:val="0"/>
          <w:numId w:val="2"/>
        </w:numPr>
        <w:spacing w:after="100" w:line="300"/>
      </w:pPr>
      <w:r>
        <w:rPr>
          <w:rFonts w:ascii="Arial" w:cs="Arial" w:eastAsia="Arial" w:hAnsi="Arial"/>
          <w:b/>
          <w:bCs/>
          <w:color w:val="1A1A1A"/>
          <w:sz w:val="22"/>
          <w:szCs w:val="22"/>
        </w:rPr>
        <w:t xml:space="preserve">Whistleblower protection. </w:t>
      </w:r>
      <w:r>
        <w:rPr>
          <w:rFonts w:ascii="Arial" w:cs="Arial" w:eastAsia="Arial" w:hAnsi="Arial"/>
          <w:color w:val="2C2C2A"/>
          <w:sz w:val="22"/>
          <w:szCs w:val="22"/>
        </w:rPr>
        <w:t xml:space="preserve">Statutory protection for whistleblowers who submit evidence to the platform’s intake, including protection from retaliation, confidentiality of identity, and structured legal channels for the protected disclosure.</w:t>
      </w:r>
    </w:p>
    <w:p>
      <w:pPr>
        <w:pStyle w:val="Heading2"/>
        <w:spacing w:after="160" w:before="320"/>
      </w:pPr>
      <w:r>
        <w:rPr>
          <w:rFonts w:ascii="Arial" w:cs="Arial" w:eastAsia="Arial" w:hAnsi="Arial"/>
          <w:b/>
          <w:bCs/>
          <w:color w:val="1A1A1A"/>
          <w:sz w:val="28"/>
          <w:szCs w:val="28"/>
        </w:rPr>
        <w:t xml:space="preserve">Implementing regulations</w:t>
      </w:r>
    </w:p>
    <w:p>
      <w:pPr>
        <w:spacing w:after="140" w:line="320"/>
        <w:jc w:val="both"/>
      </w:pPr>
      <w:r>
        <w:rPr>
          <w:rFonts w:ascii="Arial" w:cs="Arial" w:eastAsia="Arial" w:hAnsi="Arial"/>
          <w:b w:val="false"/>
          <w:bCs w:val="false"/>
          <w:i w:val="false"/>
          <w:iCs w:val="false"/>
          <w:color w:val="2C2C2A"/>
          <w:sz w:val="22"/>
          <w:szCs w:val="22"/>
        </w:rPr>
        <w:t xml:space="preserve">Below the level of primary legislation, the platform’s operations are governed by implementing regulations that the consortium’s lead ministry (MINFI) is empowered to issue. These cover the technical specifications of the declaration format, the schedule of administrative fines, the operational specifications of the consumer integrations, the threshold-signed approval procedures for encrypted-tier access, and the platform’s public-disclosure operating procedures.</w:t>
      </w:r>
    </w:p>
    <w:p>
      <w:pPr>
        <w:pStyle w:val="Heading1"/>
        <w:pageBreakBefore/>
        <w:spacing w:after="240" w:before="480"/>
      </w:pPr>
      <w:r>
        <w:rPr>
          <w:rFonts w:ascii="Arial" w:cs="Arial" w:eastAsia="Arial" w:hAnsi="Arial"/>
          <w:b/>
          <w:bCs/>
          <w:color w:val="1A1A1A"/>
          <w:sz w:val="36"/>
          <w:szCs w:val="36"/>
        </w:rPr>
        <w:t xml:space="preserve">Governance Model</w:t>
      </w:r>
    </w:p>
    <w:p>
      <w:pPr>
        <w:pStyle w:val="Heading2"/>
        <w:spacing w:after="160" w:before="320"/>
      </w:pPr>
      <w:r>
        <w:rPr>
          <w:rFonts w:ascii="Arial" w:cs="Arial" w:eastAsia="Arial" w:hAnsi="Arial"/>
          <w:b/>
          <w:bCs/>
          <w:color w:val="1A1A1A"/>
          <w:sz w:val="28"/>
          <w:szCs w:val="28"/>
        </w:rPr>
        <w:t xml:space="preserve">Consortium governance</w:t>
      </w:r>
    </w:p>
    <w:p>
      <w:pPr>
        <w:spacing w:after="140" w:line="320"/>
        <w:jc w:val="both"/>
      </w:pPr>
      <w:r>
        <w:rPr>
          <w:rFonts w:ascii="Arial" w:cs="Arial" w:eastAsia="Arial" w:hAnsi="Arial"/>
          <w:b w:val="false"/>
          <w:bCs w:val="false"/>
          <w:i w:val="false"/>
          <w:iCs w:val="false"/>
          <w:color w:val="2C2C2A"/>
          <w:sz w:val="22"/>
          <w:szCs w:val="22"/>
        </w:rPr>
        <w:t xml:space="preserve">The platform is operated by a ten-organisation consortium with the membership documented in Layer 0. The consortium’s governance structure has three tiers: a Steering Committee with representation from every consortium member institution, meeting quarterly to set strategic direction; a Technical Advisory Function with experts seconded from each consortium member, meeting monthly to advise on technical and operational decisions; and an Operations Team with day-to-day operational responsibility, reporting to the Steering Committee.</w:t>
      </w:r>
    </w:p>
    <w:p>
      <w:pPr>
        <w:spacing w:after="140" w:line="320"/>
        <w:jc w:val="both"/>
      </w:pPr>
      <w:r>
        <w:rPr>
          <w:rFonts w:ascii="Arial" w:cs="Arial" w:eastAsia="Arial" w:hAnsi="Arial"/>
          <w:b w:val="false"/>
          <w:bCs w:val="false"/>
          <w:i w:val="false"/>
          <w:iCs w:val="false"/>
          <w:color w:val="2C2C2A"/>
          <w:sz w:val="22"/>
          <w:szCs w:val="22"/>
        </w:rPr>
        <w:t xml:space="preserve">Decision rights: strategic and material policy decisions require Steering Committee approval by simple majority of consortium members with each member casting one vote. Threshold-signed approval at the cryptographic layer is required for the subset of decisions that have direct cryptographic implications (additions and removals from the domestic PEP register, takedowns of public-tier records, changes to access policy). The two governance mechanisms reinforce each other: the cryptographic threshold prevents technical bypass, the institutional approval prevents technocratic overreach.</w:t>
      </w:r>
    </w:p>
    <w:p>
      <w:pPr>
        <w:pStyle w:val="Heading2"/>
        <w:spacing w:after="160" w:before="320"/>
      </w:pPr>
      <w:r>
        <w:rPr>
          <w:rFonts w:ascii="Arial" w:cs="Arial" w:eastAsia="Arial" w:hAnsi="Arial"/>
          <w:b/>
          <w:bCs/>
          <w:color w:val="1A1A1A"/>
          <w:sz w:val="28"/>
          <w:szCs w:val="28"/>
        </w:rPr>
        <w:t xml:space="preserve">Non-state seat governance</w:t>
      </w:r>
    </w:p>
    <w:p>
      <w:pPr>
        <w:spacing w:after="140" w:line="320"/>
        <w:jc w:val="both"/>
      </w:pPr>
      <w:r>
        <w:rPr>
          <w:rFonts w:ascii="Arial" w:cs="Arial" w:eastAsia="Arial" w:hAnsi="Arial"/>
          <w:b w:val="false"/>
          <w:bCs w:val="false"/>
          <w:i w:val="false"/>
          <w:iCs w:val="false"/>
          <w:color w:val="2C2C2A"/>
          <w:sz w:val="22"/>
          <w:szCs w:val="22"/>
        </w:rPr>
        <w:t xml:space="preserve">Two of the ten consortium seats are non-state. The civil society seat is held by a Cameroonian organisation designated through a structured selection process: a panel of three established civil society organisations, three relevant academic institutions, and three respected former public-sector reformers proposes candidates, the Steering Committee selects from the proposed candidates by supermajority, and the selected organisation serves a non-renewable three-year term. The international observer seat rotates among Open Ownership, Transparency International, and the GABAC Secretariat on a two-year rotating basis.</w:t>
      </w:r>
    </w:p>
    <w:p>
      <w:pPr>
        <w:spacing w:after="140" w:line="320"/>
        <w:jc w:val="both"/>
      </w:pPr>
      <w:r>
        <w:rPr>
          <w:rFonts w:ascii="Arial" w:cs="Arial" w:eastAsia="Arial" w:hAnsi="Arial"/>
          <w:b w:val="false"/>
          <w:bCs w:val="false"/>
          <w:i w:val="false"/>
          <w:iCs w:val="false"/>
          <w:color w:val="2C2C2A"/>
          <w:sz w:val="22"/>
          <w:szCs w:val="22"/>
        </w:rPr>
        <w:t xml:space="preserve">The structural function of the non-state seats is to provide cryptographic veto over operations that the consortium’s state members might otherwise approve under political pressure. The threshold-signed approval policies for sensitive operations require at least one non-state signature in the quorum. The non-state seats thus operate as a structural constraint, not as a consultative role.</w:t>
      </w:r>
    </w:p>
    <w:p>
      <w:pPr>
        <w:pStyle w:val="Heading2"/>
        <w:spacing w:after="160" w:before="320"/>
      </w:pPr>
      <w:r>
        <w:rPr>
          <w:rFonts w:ascii="Arial" w:cs="Arial" w:eastAsia="Arial" w:hAnsi="Arial"/>
          <w:b/>
          <w:bCs/>
          <w:color w:val="1A1A1A"/>
          <w:sz w:val="28"/>
          <w:szCs w:val="28"/>
        </w:rPr>
        <w:t xml:space="preserve">Transparency commitments</w:t>
      </w:r>
    </w:p>
    <w:p>
      <w:pPr>
        <w:spacing w:after="140" w:line="320"/>
        <w:jc w:val="both"/>
      </w:pPr>
      <w:r>
        <w:rPr>
          <w:rFonts w:ascii="Arial" w:cs="Arial" w:eastAsia="Arial" w:hAnsi="Arial"/>
          <w:b w:val="false"/>
          <w:bCs w:val="false"/>
          <w:i w:val="false"/>
          <w:iCs w:val="false"/>
          <w:color w:val="2C2C2A"/>
          <w:sz w:val="22"/>
          <w:szCs w:val="22"/>
        </w:rPr>
        <w:t xml:space="preserve">The consortium commits to specific transparency practices: publication of a quarterly operational report documenting registry activity, verification engine outcomes by stage and lane, consumer integration usage by institution, and the platform’s health metrics. Publication of an annual report to the National Assembly’s relevant committee with audit attestation. Publication of the platform’s technical roadmap and Architectural Decision Records in a public repository. Publication of post-incident reviews for non-sensitive incidents. Publication of the open-source components of the platform’s codebase. These transparency commitments are the principal property that builds public legitimacy for the platform over time.</w:t>
      </w:r>
    </w:p>
    <w:p>
      <w:pPr>
        <w:pStyle w:val="Heading1"/>
        <w:pageBreakBefore/>
        <w:spacing w:after="240" w:before="480"/>
      </w:pPr>
      <w:r>
        <w:rPr>
          <w:rFonts w:ascii="Arial" w:cs="Arial" w:eastAsia="Arial" w:hAnsi="Arial"/>
          <w:b/>
          <w:bCs/>
          <w:color w:val="1A1A1A"/>
          <w:sz w:val="36"/>
          <w:szCs w:val="36"/>
        </w:rPr>
        <w:t xml:space="preserve">Build Sequence and Phasing</w:t>
      </w:r>
    </w:p>
    <w:p>
      <w:pPr>
        <w:pStyle w:val="Heading2"/>
        <w:spacing w:after="160" w:before="320"/>
      </w:pPr>
      <w:r>
        <w:rPr>
          <w:rFonts w:ascii="Arial" w:cs="Arial" w:eastAsia="Arial" w:hAnsi="Arial"/>
          <w:b/>
          <w:bCs/>
          <w:color w:val="1A1A1A"/>
          <w:sz w:val="28"/>
          <w:szCs w:val="28"/>
        </w:rPr>
        <w:t xml:space="preserve">Phase structure</w:t>
      </w:r>
    </w:p>
    <w:p>
      <w:pPr>
        <w:spacing w:after="140" w:line="320"/>
        <w:jc w:val="both"/>
      </w:pPr>
      <w:r>
        <w:rPr>
          <w:rFonts w:ascii="Arial" w:cs="Arial" w:eastAsia="Arial" w:hAnsi="Arial"/>
          <w:b w:val="false"/>
          <w:bCs w:val="false"/>
          <w:i w:val="false"/>
          <w:iCs w:val="false"/>
          <w:color w:val="2C2C2A"/>
          <w:sz w:val="22"/>
          <w:szCs w:val="22"/>
        </w:rPr>
        <w:t xml:space="preserve">The build is sequenced across five phases over eighteen to twenty-four months from funding close to production launch. The phasing is engineered against three constraints simultaneously: technical dependencies (a lower layer must be operational before the layer above it is built), institutional readiness (consumer integrations require the consumer institution’s readiness in addition to the platform’s), and legal framework progression (the implementing legislation must reach the platform-launch threshold before mandatory declaration can be enforced).</w:t>
      </w:r>
    </w:p>
    <w:p>
      <w:pPr>
        <w:pStyle w:val="Heading3"/>
        <w:spacing w:after="120" w:before="240"/>
      </w:pPr>
      <w:r>
        <w:rPr>
          <w:rFonts w:ascii="Arial" w:cs="Arial" w:eastAsia="Arial" w:hAnsi="Arial"/>
          <w:b/>
          <w:bCs/>
          <w:color w:val="1A1A1A"/>
          <w:sz w:val="24"/>
          <w:szCs w:val="24"/>
        </w:rPr>
        <w:t xml:space="preserve">Phase 1 — Legal framework and platform foundation (months 0–4)</w:t>
      </w:r>
    </w:p>
    <w:p>
      <w:pPr>
        <w:spacing w:after="140" w:line="320"/>
        <w:jc w:val="both"/>
      </w:pPr>
      <w:r>
        <w:rPr>
          <w:rFonts w:ascii="Arial" w:cs="Arial" w:eastAsia="Arial" w:hAnsi="Arial"/>
          <w:b w:val="false"/>
          <w:bCs w:val="false"/>
          <w:i w:val="false"/>
          <w:iCs w:val="false"/>
          <w:color w:val="2C2C2A"/>
          <w:sz w:val="22"/>
          <w:szCs w:val="22"/>
        </w:rPr>
        <w:t xml:space="preserve">Months zero through four run two work streams in parallel. The legal stream drafts and shepherds the implementing legislation through the consultation and parliamentary process: the OHADA transposition amendment, the penal provisions, the administrative fine authority, the statutory public-tier provision, and the encrypted-tier governance provision. The legal stream’s month-four exit criterion is parliamentary first reading completed with second reading scheduled. The technical stream stands up the Kubernetes platform across both operational sites, procures and initialises the HSMs in ceremony with the consortium, establishes the Fabric ten-organisation network, deploys the observability and CI/CD substrate, builds the canonical data model into PostgreSQL, and implements the core Entity, Person, and Declaration services. The technical stream’s month-four exit criterion is the substrate operational with a synthetic-data pipeline demonstrating declaration intake and storage. No verification engine yet, no user-facing applications yet.</w:t>
      </w:r>
    </w:p>
    <w:p>
      <w:pPr>
        <w:pStyle w:val="Heading3"/>
        <w:spacing w:after="120" w:before="240"/>
      </w:pPr>
      <w:r>
        <w:rPr>
          <w:rFonts w:ascii="Arial" w:cs="Arial" w:eastAsia="Arial" w:hAnsi="Arial"/>
          <w:b/>
          <w:bCs/>
          <w:color w:val="1A1A1A"/>
          <w:sz w:val="24"/>
          <w:szCs w:val="24"/>
        </w:rPr>
        <w:t xml:space="preserve">Phase 2 — Verification engine and declaration intake (months 4–9)</w:t>
      </w:r>
    </w:p>
    <w:p>
      <w:pPr>
        <w:spacing w:after="140" w:line="320"/>
        <w:jc w:val="both"/>
      </w:pPr>
      <w:r>
        <w:rPr>
          <w:rFonts w:ascii="Arial" w:cs="Arial" w:eastAsia="Arial" w:hAnsi="Arial"/>
          <w:b w:val="false"/>
          <w:bCs w:val="false"/>
          <w:i w:val="false"/>
          <w:iCs w:val="false"/>
          <w:color w:val="2C2C2A"/>
          <w:sz w:val="22"/>
          <w:szCs w:val="22"/>
        </w:rPr>
        <w:t xml:space="preserve">Months four through nine build the verification engine and the Declarant Portal. The verification engine is built stage by stage: schema validation in week one, identity authentication with the BUNEC, NIU, and immigration adapters across weeks two through four, sanctions screening with the ingestion service and the Bloom-filter-plus-OpenSearch matching architecture across weeks four through eight, PEP screening with the commercial feed integration and the sovereign domestic PEP register across weeks six through ten, adverse media and ICIJ archives integration across weeks eight through fourteen, pattern detection rule-based signatures (Signatures 1, 3, 4, 5, 6 of the eight, which do not require trained classifiers) across weeks ten through sixteen, cross-source triangulation across weeks fourteen through eighteen, Dempster–Shafer fusion across weeks sixteen through twenty, and lane routing in the final weeks. The Declarant Portal is built in parallel by the application team.</w:t>
      </w:r>
    </w:p>
    <w:p>
      <w:pPr>
        <w:spacing w:after="140" w:line="320"/>
        <w:jc w:val="both"/>
      </w:pPr>
      <w:r>
        <w:rPr>
          <w:rFonts w:ascii="Arial" w:cs="Arial" w:eastAsia="Arial" w:hAnsi="Arial"/>
          <w:b w:val="false"/>
          <w:bCs w:val="false"/>
          <w:i w:val="false"/>
          <w:iCs w:val="false"/>
          <w:color w:val="2C2C2A"/>
          <w:sz w:val="22"/>
          <w:szCs w:val="22"/>
        </w:rPr>
        <w:t xml:space="preserve">Pilot operation begins in month seven with a controlled cohort: the largest two hundred ARMP-registered bidders, who are required by negotiated arrangement with ARMP to submit declarations through the pilot. The pilot runs through month ten with weekly review of verification outcomes, iterative tuning of stage thresholds and the Dempster–Shafer basic probability assignments, and identification of failure modes that warrant engineering investment. This is the phase where the design either holds or fails; the budget reserves engineering capacity for material rework discovered during the pilot.</w:t>
      </w:r>
    </w:p>
    <w:p>
      <w:pPr>
        <w:pStyle w:val="Heading3"/>
        <w:spacing w:after="120" w:before="240"/>
      </w:pPr>
      <w:r>
        <w:rPr>
          <w:rFonts w:ascii="Arial" w:cs="Arial" w:eastAsia="Arial" w:hAnsi="Arial"/>
          <w:b/>
          <w:bCs/>
          <w:color w:val="1A1A1A"/>
          <w:sz w:val="24"/>
          <w:szCs w:val="24"/>
        </w:rPr>
        <w:t xml:space="preserve">Phase 3 — Consumer integrations (months 9–14)</w:t>
      </w:r>
    </w:p>
    <w:p>
      <w:pPr>
        <w:spacing w:after="140" w:line="320"/>
        <w:jc w:val="both"/>
      </w:pPr>
      <w:r>
        <w:rPr>
          <w:rFonts w:ascii="Arial" w:cs="Arial" w:eastAsia="Arial" w:hAnsi="Arial"/>
          <w:b w:val="false"/>
          <w:bCs w:val="false"/>
          <w:i w:val="false"/>
          <w:iCs w:val="false"/>
          <w:color w:val="2C2C2A"/>
          <w:sz w:val="22"/>
          <w:szCs w:val="22"/>
        </w:rPr>
        <w:t xml:space="preserve">Months nine through fourteen build the eight consumer integrations, each as its own contract with the consumer institution. ARMP, ANIF via goAML, DGI, and BEAC with the banking sector are the highest-priority integrations and are built first; customs, the sectoral cadastres, CONAC, and the INTERPOL/StAR international cooperation channel follow. Each integration involves: a negotiated contract specifying SLOs, data formats, authentication mechanism, and operational responsibilities on both sides; the technical implementation on the platform side; the technical implementation on the consumer side (which the consumer’s engineering team performs with platform engineering support); end-to-end testing in a paired staging environment; and pilot operation with a designated consumer-side champion. The integration team running in parallel across the eight integrations is the limiting capacity constraint of this phase, motivating the budgetary commitment to a dedicated integration engineering team.</w:t>
      </w:r>
    </w:p>
    <w:p>
      <w:pPr>
        <w:pStyle w:val="Heading3"/>
        <w:spacing w:after="120" w:before="240"/>
      </w:pPr>
      <w:r>
        <w:rPr>
          <w:rFonts w:ascii="Arial" w:cs="Arial" w:eastAsia="Arial" w:hAnsi="Arial"/>
          <w:b/>
          <w:bCs/>
          <w:color w:val="1A1A1A"/>
          <w:sz w:val="24"/>
          <w:szCs w:val="24"/>
        </w:rPr>
        <w:t xml:space="preserve">Phase 4 — Investigation Workbench, Public Portal, supervised pattern detection (months 14–18)</w:t>
      </w:r>
    </w:p>
    <w:p>
      <w:pPr>
        <w:spacing w:after="140" w:line="320"/>
        <w:jc w:val="both"/>
      </w:pPr>
      <w:r>
        <w:rPr>
          <w:rFonts w:ascii="Arial" w:cs="Arial" w:eastAsia="Arial" w:hAnsi="Arial"/>
          <w:b w:val="false"/>
          <w:bCs w:val="false"/>
          <w:i w:val="false"/>
          <w:iCs w:val="false"/>
          <w:color w:val="2C2C2A"/>
          <w:sz w:val="22"/>
          <w:szCs w:val="22"/>
        </w:rPr>
        <w:t xml:space="preserve">Months fourteen through eighteen build the Investigation Workbench, the Public Portal, the Whistleblower Intake, and the supervised pattern-detection signature (Signature 7 — strawman patterns) and the community-detection signature (Signature 8). The Investigation Workbench is built against the requirements of the ANIF, CONAC, and TCS analyst teams who participate in the design as design partners. The Public Portal is built with the awareness that its launch is a public political event that requires coordinated media and civil society engagement; the consortium’s communications team owns the launch sequence. The Whistleblower Intake is built on infrastructure separate from the main platform with operational isolation.</w:t>
      </w:r>
    </w:p>
    <w:p>
      <w:pPr>
        <w:spacing w:after="140" w:line="320"/>
        <w:jc w:val="both"/>
      </w:pPr>
      <w:r>
        <w:rPr>
          <w:rFonts w:ascii="Arial" w:cs="Arial" w:eastAsia="Arial" w:hAnsi="Arial"/>
          <w:b w:val="false"/>
          <w:bCs w:val="false"/>
          <w:i w:val="false"/>
          <w:iCs w:val="false"/>
          <w:color w:val="2C2C2A"/>
          <w:sz w:val="22"/>
          <w:szCs w:val="22"/>
        </w:rPr>
        <w:t xml:space="preserve">The supervised pattern-detection classifier requires labelled training data. By month eighteen, the platform has accumulated approximately twelve months of declarations through Phases 2 and 3, with ANIF findings and verification analyst dismissals providing the initial labelled set. The classifier is trained on this set, validated against held-out validation data, and brought into production behind feature flags with the rule-based signatures continuing to operate.</w:t>
      </w:r>
    </w:p>
    <w:p>
      <w:pPr>
        <w:pStyle w:val="Heading3"/>
        <w:spacing w:after="120" w:before="240"/>
      </w:pPr>
      <w:r>
        <w:rPr>
          <w:rFonts w:ascii="Arial" w:cs="Arial" w:eastAsia="Arial" w:hAnsi="Arial"/>
          <w:b/>
          <w:bCs/>
          <w:color w:val="1A1A1A"/>
          <w:sz w:val="24"/>
          <w:szCs w:val="24"/>
        </w:rPr>
        <w:t xml:space="preserve">Phase 5 — Mandatory rollout, retroactive declaration, international interoperability (months 18–24)</w:t>
      </w:r>
    </w:p>
    <w:p>
      <w:pPr>
        <w:spacing w:after="140" w:line="320"/>
        <w:jc w:val="both"/>
      </w:pPr>
      <w:r>
        <w:rPr>
          <w:rFonts w:ascii="Arial" w:cs="Arial" w:eastAsia="Arial" w:hAnsi="Arial"/>
          <w:b w:val="false"/>
          <w:bCs w:val="false"/>
          <w:i w:val="false"/>
          <w:iCs w:val="false"/>
          <w:color w:val="2C2C2A"/>
          <w:sz w:val="22"/>
          <w:szCs w:val="22"/>
        </w:rPr>
        <w:t xml:space="preserve">Months eighteen through twenty-four sequence the platform from pilot operation to full mandatory declaration. Mandatory declaration is phased: CFCE-registered new incorporations move to mandatory in month eighteen, ARMP-registered bidders in month nineteen (timed to a procurement cycle boundary so that no in-flight tender is disrupted), cooperatives and foundations in month twenty, retroactive declaration for pre-existing entities in months twenty through twenty-four (with the phasing weighted to entities with active procurement, concession, or banking exposure).</w:t>
      </w:r>
    </w:p>
    <w:p>
      <w:pPr>
        <w:spacing w:after="140" w:line="320"/>
        <w:jc w:val="both"/>
      </w:pPr>
      <w:r>
        <w:rPr>
          <w:rFonts w:ascii="Arial" w:cs="Arial" w:eastAsia="Arial" w:hAnsi="Arial"/>
          <w:b w:val="false"/>
          <w:bCs w:val="false"/>
          <w:i w:val="false"/>
          <w:iCs w:val="false"/>
          <w:color w:val="2C2C2A"/>
          <w:sz w:val="22"/>
          <w:szCs w:val="22"/>
        </w:rPr>
        <w:t xml:space="preserve">BODS export to Open Ownership begins on the public tier from month nineteen. International cooperation integration through INTERPOL I-24/7 and the StAR network is operational from month twenty-one, with the first cross-border verification requests processed through the platform in months twenty-two through twenty-four. The platform formally enters production operation at month twenty-four, with the consortium’s steady-state operating model assuming responsibility from the build team.</w:t>
      </w:r>
    </w:p>
    <w:p>
      <w:pPr>
        <w:pStyle w:val="Heading1"/>
        <w:pageBreakBefore/>
        <w:spacing w:after="240" w:before="480"/>
      </w:pPr>
      <w:r>
        <w:rPr>
          <w:rFonts w:ascii="Arial" w:cs="Arial" w:eastAsia="Arial" w:hAnsi="Arial"/>
          <w:b/>
          <w:bCs/>
          <w:color w:val="1A1A1A"/>
          <w:sz w:val="36"/>
          <w:szCs w:val="36"/>
        </w:rPr>
        <w:t xml:space="preserve">Budget and Resourcing</w:t>
      </w:r>
    </w:p>
    <w:p>
      <w:pPr>
        <w:pStyle w:val="Heading2"/>
        <w:spacing w:after="160" w:before="320"/>
      </w:pPr>
      <w:r>
        <w:rPr>
          <w:rFonts w:ascii="Arial" w:cs="Arial" w:eastAsia="Arial" w:hAnsi="Arial"/>
          <w:b/>
          <w:bCs/>
          <w:color w:val="1A1A1A"/>
          <w:sz w:val="28"/>
          <w:szCs w:val="28"/>
        </w:rPr>
        <w:t xml:space="preserve">Build budget</w:t>
      </w:r>
    </w:p>
    <w:p>
      <w:pPr>
        <w:spacing w:after="140" w:line="320"/>
        <w:jc w:val="both"/>
      </w:pPr>
      <w:r>
        <w:rPr>
          <w:rFonts w:ascii="Arial" w:cs="Arial" w:eastAsia="Arial" w:hAnsi="Arial"/>
          <w:b w:val="false"/>
          <w:bCs w:val="false"/>
          <w:i w:val="false"/>
          <w:iCs w:val="false"/>
          <w:color w:val="2C2C2A"/>
          <w:sz w:val="22"/>
          <w:szCs w:val="22"/>
        </w:rPr>
        <w:t xml:space="preserve">The build budget is in the range of eighteen to twenty-four million United States dollars all-in for the first eighteen months from funding close to production launch. The breakdown by category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Category</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Range (USD)</w:t>
            </w:r>
          </w:p>
        </w:tc>
        <w:tc>
          <w:tcPr>
            <w:tcW w:type="dxa" w:w="3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drafting and parliamentary support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Specialist legal drafters, public consultation, parliamentary engagement support.</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infrastructure procurement and installation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2.5–3.5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HSMs (six units across three sites), GPU cluster for sovereign LLM (sixteen H100s minimum), server infrastructure for both operational sites, network infrastructure.</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development — platform layers 0–4</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5–6.5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Approximately 35 engineering FTEs across cryptography, platform, verification engineering, and integration teams, plus product management and design.</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development — applications layer 6</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2–2.5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Approximately 12 engineering FTEs on the six applications, plus design and accessibility.</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integration negotiation and implementation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2–3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institutional integrations, each requiring engineering effort on both sides, contract negotiation, training, and pilot operation.</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API consumption during build and pilot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Material spend during pilot and load-test phases.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Commercial sanctions and PEP feed licences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200–400 K</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LSEG World-Check, Dow Jones Risk, plus complementary feeds.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 audits, penetration testing, accessibility audit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Multiple independent engagements pre-launch.</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Change management and capacity building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1.5–2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Training programmes for consumer institutions, declarant outreach, change communications, public launch.</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First-year operations during launch year</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3.5–4.5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Operating cost during months 18–24, dominated by the GPU cluster, the inference spend ramping toward steady-state, and the consortium operations team.</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Contingency</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1.5–2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10–12% contingency reserve, deployed against discovered rework and unanticipated integration complexity.</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 M</w:t>
            </w:r>
          </w:p>
        </w:tc>
        <w:tc>
          <w:tcPr>
            <w:tcW w:type="dxa" w:w="3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All-in for funding close to production launch.</w:t>
            </w:r>
          </w:p>
        </w:tc>
      </w:tr>
    </w:tbl>
    <w:p>
      <w:pPr>
        <w:pStyle w:val="Heading2"/>
        <w:spacing w:after="160" w:before="320"/>
      </w:pPr>
      <w:r>
        <w:rPr>
          <w:rFonts w:ascii="Arial" w:cs="Arial" w:eastAsia="Arial" w:hAnsi="Arial"/>
          <w:b/>
          <w:bCs/>
          <w:color w:val="1A1A1A"/>
          <w:sz w:val="28"/>
          <w:szCs w:val="28"/>
        </w:rPr>
        <w:t xml:space="preserve">Steady-state operating budget</w:t>
      </w:r>
    </w:p>
    <w:p>
      <w:pPr>
        <w:spacing w:after="140" w:line="320"/>
        <w:jc w:val="both"/>
      </w:pPr>
      <w:r>
        <w:rPr>
          <w:rFonts w:ascii="Arial" w:cs="Arial" w:eastAsia="Arial" w:hAnsi="Arial"/>
          <w:b w:val="false"/>
          <w:bCs w:val="false"/>
          <w:i w:val="false"/>
          <w:iCs w:val="false"/>
          <w:color w:val="2C2C2A"/>
          <w:sz w:val="22"/>
          <w:szCs w:val="22"/>
        </w:rPr>
        <w:t xml:space="preserve">Steady-state operating budget is in the range of six to eight million United States dollars per year. The breakdown is dominated by the in-country GPU cluster operations (one to one-and-a-half million per year), the Anthropic API consumption (two-and-a-half to four million per year, with substantial volume on Tier A for adverse-media and sanctions reasoning), commercial PEP and sanctions feed licences (four hundred to seven hundred thousand per year), the site reliability and security operations teams (one-and-a-half to two million per year), the verification analyst staff (six hundred thousand to one million per year), and ongoing engineering capacity for evolution and incident response (one to one-and-a-half million per year).</w:t>
      </w:r>
    </w:p>
    <w:p>
      <w:pPr>
        <w:spacing w:after="140" w:line="320"/>
        <w:jc w:val="both"/>
      </w:pPr>
      <w:r>
        <w:rPr>
          <w:rFonts w:ascii="Arial" w:cs="Arial" w:eastAsia="Arial" w:hAnsi="Arial"/>
          <w:b w:val="false"/>
          <w:bCs w:val="false"/>
          <w:i w:val="false"/>
          <w:iCs w:val="false"/>
          <w:color w:val="2C2C2A"/>
          <w:sz w:val="22"/>
          <w:szCs w:val="22"/>
        </w:rPr>
        <w:t xml:space="preserve">These figures are honest. A pitch below fifteen million for the build or below five million for steady-state operations would underscope the verification engine, the security posture, or the change-management programme, and any of those underscopes is what kills sovereign platform projects in the second operational year. The consortium and the funders are better served by an honest estimate.</w:t>
      </w:r>
    </w:p>
    <w:p>
      <w:pPr>
        <w:pStyle w:val="Heading1"/>
        <w:pageBreakBefore/>
        <w:spacing w:after="240" w:before="480"/>
      </w:pPr>
      <w:r>
        <w:rPr>
          <w:rFonts w:ascii="Arial" w:cs="Arial" w:eastAsia="Arial" w:hAnsi="Arial"/>
          <w:b/>
          <w:bCs/>
          <w:color w:val="1A1A1A"/>
          <w:sz w:val="36"/>
          <w:szCs w:val="36"/>
        </w:rPr>
        <w:t xml:space="preserve">Risk Register</w:t>
      </w:r>
    </w:p>
    <w:p>
      <w:pPr>
        <w:spacing w:after="140" w:line="320"/>
        <w:jc w:val="both"/>
      </w:pPr>
      <w:r>
        <w:rPr>
          <w:rFonts w:ascii="Arial" w:cs="Arial" w:eastAsia="Arial" w:hAnsi="Arial"/>
          <w:b w:val="false"/>
          <w:bCs w:val="false"/>
          <w:i w:val="false"/>
          <w:iCs w:val="false"/>
          <w:color w:val="2C2C2A"/>
          <w:sz w:val="22"/>
          <w:szCs w:val="22"/>
        </w:rPr>
        <w:t xml:space="preserve">The principal risks to the platform are documented below with their mitigations. Each risk has an owning function within the consortium and is tracked through the consortium’s risk-management process with quarterly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Risk</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Severity</w:t>
            </w:r>
          </w:p>
        </w:tc>
        <w:tc>
          <w:tcPr>
            <w:tcW w:type="dxa" w:w="4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Mitigation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fails to catch front-person declarations at acceptable rate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Critical</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signature classes operating in parallel rather than single point of failure. Pilot operation in Phase 2 calibrates the engine before mandatory rollout. Quarterly inference audit with consortium-board reporting. Supervised classifier improves over operational time as labelled data accumulates.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slips behind technical build schedule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drafting begins from day zero in Phase 1 in parallel with the technical build. Engagement with the National Assembly’s relevant committee from month one. Build sequence permits operating in non-mandatory mode through month eighteen, providing buffer.</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Political capture attempt by single faction</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Multi-organisation consortium with non-state seats. Threshold-signed approval for sensitive operations requires non-state signature in quorum. External sovereignty-independent anchoring. Statutory public-tier opening. Independent Audit Service. Open-source non-sensitive components.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First politically inconvenient public-tier match triggers political backlash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Coordinated launch sequence with media and civil society partners. Statutory grounding for public-tier opening with narrow takedown provisions. Pre-launch engagement with the parliamentary opposition and with the major political parties to establish bipartisan grounding.</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Technology obsolescence over the platform’s operational lifetime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Architectural commitment to layer-by-layer replaceability through stable interface contracts. Quarterly Architecture Review Board examines technology roadmap. Active monitoring of the AI capability landscape with planned model upgrades.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Key technical staff departure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architecture and operations through ADRs and run-books. Code-base discipline through code review and clarity standards. Cross-training across the engineering team. Open-source non-sensitive components broadening the global pool of contributors.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API service disruption or model deprecation</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Three-tier discipline with in-tier fallback (Sonnet as Opus fallback). Cross-tier fallback to sovereign infrastructure for catastrophic disruption. Capacity in the sovereign tier sized to absorb temporary Tier A and Tier B unavailability.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institution non-cooperation or delayed readiness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 contracts negotiated in Phase 3 with named timelines and named institutional owners. Build sequence permits launch with a partial set of integrations operational, with the residual integrations rolling on in Phase 5.</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Cost overrun beyond contingency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10–12% contingency reserve in the build budget. Quarterly budget review with consortium-board reporting. Scope-control discipline through the change-request review process.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Cyber-security breach during operational lifetime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Defence in depth across network, application, and data layers. Continuous vulnerability scanning. Annual red-team engagement. Bug bounty programme. Incident response capability with documented runbooks and rehearsed game-day exercises.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 channel compromise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4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isolation of intake infrastructure. Tor service architecture. End-to-end encryption with intake team’s key. Protected investigator team with separation from main platform operators.</w:t>
            </w:r>
          </w:p>
        </w:tc>
      </w:tr>
    </w:tbl>
    <w:p>
      <w:pPr>
        <w:pStyle w:val="Heading1"/>
        <w:pageBreakBefore/>
        <w:spacing w:after="240" w:before="480"/>
      </w:pPr>
      <w:r>
        <w:rPr>
          <w:rFonts w:ascii="Arial" w:cs="Arial" w:eastAsia="Arial" w:hAnsi="Arial"/>
          <w:b/>
          <w:bCs/>
          <w:color w:val="1A1A1A"/>
          <w:sz w:val="36"/>
          <w:szCs w:val="36"/>
        </w:rPr>
        <w:t xml:space="preserve">Success Metrics and Evaluation</w:t>
      </w:r>
    </w:p>
    <w:p>
      <w:pPr>
        <w:pStyle w:val="Heading2"/>
        <w:spacing w:after="160" w:before="320"/>
      </w:pPr>
      <w:r>
        <w:rPr>
          <w:rFonts w:ascii="Arial" w:cs="Arial" w:eastAsia="Arial" w:hAnsi="Arial"/>
          <w:b/>
          <w:bCs/>
          <w:color w:val="1A1A1A"/>
          <w:sz w:val="28"/>
          <w:szCs w:val="28"/>
        </w:rPr>
        <w:t xml:space="preserve">Outcome metrics</w:t>
      </w:r>
    </w:p>
    <w:p>
      <w:pPr>
        <w:spacing w:after="140" w:line="320"/>
        <w:jc w:val="both"/>
      </w:pPr>
      <w:r>
        <w:rPr>
          <w:rFonts w:ascii="Arial" w:cs="Arial" w:eastAsia="Arial" w:hAnsi="Arial"/>
          <w:b w:val="false"/>
          <w:bCs w:val="false"/>
          <w:i w:val="false"/>
          <w:iCs w:val="false"/>
          <w:color w:val="2C2C2A"/>
          <w:sz w:val="22"/>
          <w:szCs w:val="22"/>
        </w:rPr>
        <w:t xml:space="preserve">The platform commits to measurable outcome metrics, reviewed quarterly by the consortium and the funders.</w:t>
      </w:r>
    </w:p>
    <w:p>
      <w:pPr>
        <w:pStyle w:val="ListParagraph"/>
        <w:numPr>
          <w:ilvl w:val="0"/>
          <w:numId w:val="2"/>
        </w:numPr>
        <w:spacing w:after="80" w:line="300"/>
      </w:pPr>
      <w:r>
        <w:rPr>
          <w:rFonts w:ascii="Arial" w:cs="Arial" w:eastAsia="Arial" w:hAnsi="Arial"/>
          <w:color w:val="2C2C2A"/>
          <w:sz w:val="22"/>
          <w:szCs w:val="22"/>
        </w:rPr>
        <w:t xml:space="preserve">Declarations submitted: monthly volume by category (new incorporation, annual filing, change of control), with target steady-state volume calibrated against the entity universe and the mandatory rollout schedule.</w:t>
      </w:r>
    </w:p>
    <w:p>
      <w:pPr>
        <w:pStyle w:val="ListParagraph"/>
        <w:numPr>
          <w:ilvl w:val="0"/>
          <w:numId w:val="2"/>
        </w:numPr>
        <w:spacing w:after="80" w:line="300"/>
      </w:pPr>
      <w:r>
        <w:rPr>
          <w:rFonts w:ascii="Arial" w:cs="Arial" w:eastAsia="Arial" w:hAnsi="Arial"/>
          <w:color w:val="2C2C2A"/>
          <w:sz w:val="22"/>
          <w:szCs w:val="22"/>
        </w:rPr>
        <w:t xml:space="preserve">Verification engine accuracy: quarterly inference audit produces a stratified-sample accuracy measurement, with the audit performed by an independent reviewer and the methodology published.</w:t>
      </w:r>
    </w:p>
    <w:p>
      <w:pPr>
        <w:pStyle w:val="ListParagraph"/>
        <w:numPr>
          <w:ilvl w:val="0"/>
          <w:numId w:val="2"/>
        </w:numPr>
        <w:spacing w:after="80" w:line="300"/>
      </w:pPr>
      <w:r>
        <w:rPr>
          <w:rFonts w:ascii="Arial" w:cs="Arial" w:eastAsia="Arial" w:hAnsi="Arial"/>
          <w:color w:val="2C2C2A"/>
          <w:sz w:val="22"/>
          <w:szCs w:val="22"/>
        </w:rPr>
        <w:t xml:space="preserve">Conflicts of interest surfaced in procurement: count of ARMP webhook responses that surfaced beneficial-ownership-based conflicts of interest, with the procurement value of affected tenders.</w:t>
      </w:r>
    </w:p>
    <w:p>
      <w:pPr>
        <w:pStyle w:val="ListParagraph"/>
        <w:numPr>
          <w:ilvl w:val="0"/>
          <w:numId w:val="2"/>
        </w:numPr>
        <w:spacing w:after="80" w:line="300"/>
      </w:pPr>
      <w:r>
        <w:rPr>
          <w:rFonts w:ascii="Arial" w:cs="Arial" w:eastAsia="Arial" w:hAnsi="Arial"/>
          <w:color w:val="2C2C2A"/>
          <w:sz w:val="22"/>
          <w:szCs w:val="22"/>
        </w:rPr>
        <w:t xml:space="preserve">False declarations confirmed: count of cases in which a declaration was confirmed false through investigation, with the consequent enforcement action.</w:t>
      </w:r>
    </w:p>
    <w:p>
      <w:pPr>
        <w:pStyle w:val="ListParagraph"/>
        <w:numPr>
          <w:ilvl w:val="0"/>
          <w:numId w:val="2"/>
        </w:numPr>
        <w:spacing w:after="80" w:line="300"/>
      </w:pPr>
      <w:r>
        <w:rPr>
          <w:rFonts w:ascii="Arial" w:cs="Arial" w:eastAsia="Arial" w:hAnsi="Arial"/>
          <w:color w:val="2C2C2A"/>
          <w:sz w:val="22"/>
          <w:szCs w:val="22"/>
        </w:rPr>
        <w:t xml:space="preserve">Suspicious transaction reports enriched: count of STRs submitted to goAML that the platform enriched with BO context, with the operational utility of the enrichment as reported by ANIF.</w:t>
      </w:r>
    </w:p>
    <w:p>
      <w:pPr>
        <w:pStyle w:val="ListParagraph"/>
        <w:numPr>
          <w:ilvl w:val="0"/>
          <w:numId w:val="2"/>
        </w:numPr>
        <w:spacing w:after="80" w:line="300"/>
      </w:pPr>
      <w:r>
        <w:rPr>
          <w:rFonts w:ascii="Arial" w:cs="Arial" w:eastAsia="Arial" w:hAnsi="Arial"/>
          <w:color w:val="2C2C2A"/>
          <w:sz w:val="22"/>
          <w:szCs w:val="22"/>
        </w:rPr>
        <w:t xml:space="preserve">Transfer pricing risk surfaced: count of audit cases initiated by DGI from the daily diff, with the assessed additional tax liability where audits have closed.</w:t>
      </w:r>
    </w:p>
    <w:p>
      <w:pPr>
        <w:pStyle w:val="ListParagraph"/>
        <w:numPr>
          <w:ilvl w:val="0"/>
          <w:numId w:val="2"/>
        </w:numPr>
        <w:spacing w:after="80" w:line="300"/>
      </w:pPr>
      <w:r>
        <w:rPr>
          <w:rFonts w:ascii="Arial" w:cs="Arial" w:eastAsia="Arial" w:hAnsi="Arial"/>
          <w:color w:val="2C2C2A"/>
          <w:sz w:val="22"/>
          <w:szCs w:val="22"/>
        </w:rPr>
        <w:t xml:space="preserve">FATF action item progress: substantive contribution of platform operations to the four remaining FATF action items (supervision of DNFBPs, financial intelligence dissemination, seizure and confiscation, targeted financial sanctions), with the substantive contributions documented in the Cameroonian government’s FATF Plenary submissions.</w:t>
      </w:r>
    </w:p>
    <w:p>
      <w:pPr>
        <w:pStyle w:val="ListParagraph"/>
        <w:numPr>
          <w:ilvl w:val="0"/>
          <w:numId w:val="2"/>
        </w:numPr>
        <w:spacing w:after="80" w:line="300"/>
      </w:pPr>
      <w:r>
        <w:rPr>
          <w:rFonts w:ascii="Arial" w:cs="Arial" w:eastAsia="Arial" w:hAnsi="Arial"/>
          <w:color w:val="2C2C2A"/>
          <w:sz w:val="22"/>
          <w:szCs w:val="22"/>
        </w:rPr>
        <w:t xml:space="preserve">Public engagement: public-tier query volume by month, BODS export downloads, civil society and journalist engagements with the platform, with the platform’s public visibility as a proxy for civic legitimacy.</w:t>
      </w:r>
    </w:p>
    <w:p>
      <w:pPr>
        <w:pStyle w:val="Heading2"/>
        <w:spacing w:after="160" w:before="320"/>
      </w:pPr>
      <w:r>
        <w:rPr>
          <w:rFonts w:ascii="Arial" w:cs="Arial" w:eastAsia="Arial" w:hAnsi="Arial"/>
          <w:b/>
          <w:bCs/>
          <w:color w:val="1A1A1A"/>
          <w:sz w:val="28"/>
          <w:szCs w:val="28"/>
        </w:rPr>
        <w:t xml:space="preserve">Operational metrics</w:t>
      </w:r>
    </w:p>
    <w:p>
      <w:pPr>
        <w:spacing w:after="140" w:line="320"/>
        <w:jc w:val="both"/>
      </w:pPr>
      <w:r>
        <w:rPr>
          <w:rFonts w:ascii="Arial" w:cs="Arial" w:eastAsia="Arial" w:hAnsi="Arial"/>
          <w:b w:val="false"/>
          <w:bCs w:val="false"/>
          <w:i w:val="false"/>
          <w:iCs w:val="false"/>
          <w:color w:val="2C2C2A"/>
          <w:sz w:val="22"/>
          <w:szCs w:val="22"/>
        </w:rPr>
        <w:t xml:space="preserve">In parallel with outcome metrics, operational metrics are tracked continuously: availability per service against SLO, latency per operation against SLO, error budget consumption per service, security incident counts and severity, audit log integrity verification, inference budget consumption per tier, consumer integration health per institution, and disaster recovery rehearsal outcomes. These metrics are surfaced in the consortium’s operational reports and in the platform’s public technical surface where non-sensitive.</w:t>
      </w:r>
    </w:p>
    <w:p>
      <w:pPr>
        <w:pStyle w:val="Heading1"/>
        <w:pageBreakBefore/>
        <w:spacing w:after="240" w:before="480"/>
      </w:pPr>
      <w:r>
        <w:rPr>
          <w:rFonts w:ascii="Arial" w:cs="Arial" w:eastAsia="Arial" w:hAnsi="Arial"/>
          <w:b/>
          <w:bCs/>
          <w:color w:val="1A1A1A"/>
          <w:sz w:val="36"/>
          <w:szCs w:val="36"/>
        </w:rPr>
        <w:t xml:space="preserve">Appendix A — Reference API Contracts</w:t>
      </w:r>
    </w:p>
    <w:p>
      <w:pPr>
        <w:spacing w:after="140" w:line="320"/>
        <w:jc w:val="both"/>
      </w:pPr>
      <w:r>
        <w:rPr>
          <w:rFonts w:ascii="Arial" w:cs="Arial" w:eastAsia="Arial" w:hAnsi="Arial"/>
          <w:b w:val="false"/>
          <w:bCs w:val="false"/>
          <w:i w:val="false"/>
          <w:iCs w:val="false"/>
          <w:color w:val="2C2C2A"/>
          <w:sz w:val="22"/>
          <w:szCs w:val="22"/>
        </w:rPr>
        <w:t xml:space="preserve">This appendix provides representative API contract signatures for the four principal API surfaces. The signatures are illustrative of the contract style and the data shape; the full OpenAPI and GraphQL specifications are maintained as version-controlled artefacts in the platform repository and are not reproduced in full in this document.</w:t>
      </w:r>
    </w:p>
    <w:p>
      <w:pPr>
        <w:pStyle w:val="Heading2"/>
        <w:spacing w:after="160" w:before="320"/>
      </w:pPr>
      <w:r>
        <w:rPr>
          <w:rFonts w:ascii="Arial" w:cs="Arial" w:eastAsia="Arial" w:hAnsi="Arial"/>
          <w:b/>
          <w:bCs/>
          <w:color w:val="1A1A1A"/>
          <w:sz w:val="28"/>
          <w:szCs w:val="28"/>
        </w:rPr>
        <w:t xml:space="preserve">REST KYC lookup endpoint</w:t>
      </w:r>
    </w:p>
    <w:p>
      <w:pPr>
        <w:spacing w:after="140" w:line="320"/>
        <w:jc w:val="both"/>
      </w:pPr>
      <w:r>
        <w:rPr>
          <w:rFonts w:ascii="Arial" w:cs="Arial" w:eastAsia="Arial" w:hAnsi="Arial"/>
          <w:b w:val="false"/>
          <w:bCs w:val="false"/>
          <w:i w:val="false"/>
          <w:iCs w:val="false"/>
          <w:color w:val="2C2C2A"/>
          <w:sz w:val="22"/>
          <w:szCs w:val="22"/>
        </w:rPr>
        <w:t xml:space="preserve">The KYC lookup endpoint serves the high-throughput simple-shape lookups for the banking sector and similar consumers. The endpoint URL is GET /v1/entities/{entityId}/beneficial-ownership, authenticated via mutual TLS plus bearer token. The response shape includes the entity’s canonical identifier, lifecycle status, list of beneficial owners with their proportional interests, the type of interest per owner, the validity interval of the declared structure, the sanctions and PEP status of each owner, and a structured risk summary. Response time SLO is p99 under 50 milliseconds. Idempotency is implicit through the GET semantics. Caching at the edge is permitted for up to five minutes with cache invalidation on update events.</w:t>
      </w:r>
    </w:p>
    <w:p>
      <w:pPr>
        <w:pStyle w:val="Heading2"/>
        <w:spacing w:after="160" w:before="320"/>
      </w:pPr>
      <w:r>
        <w:rPr>
          <w:rFonts w:ascii="Arial" w:cs="Arial" w:eastAsia="Arial" w:hAnsi="Arial"/>
          <w:b/>
          <w:bCs/>
          <w:color w:val="1A1A1A"/>
          <w:sz w:val="28"/>
          <w:szCs w:val="28"/>
        </w:rPr>
        <w:t xml:space="preserve">REST sanctions-status endpoint</w:t>
      </w:r>
    </w:p>
    <w:p>
      <w:pPr>
        <w:spacing w:after="140" w:line="320"/>
        <w:jc w:val="both"/>
      </w:pPr>
      <w:r>
        <w:rPr>
          <w:rFonts w:ascii="Arial" w:cs="Arial" w:eastAsia="Arial" w:hAnsi="Arial"/>
          <w:b w:val="false"/>
          <w:bCs w:val="false"/>
          <w:i w:val="false"/>
          <w:iCs w:val="false"/>
          <w:color w:val="2C2C2A"/>
          <w:sz w:val="22"/>
          <w:szCs w:val="22"/>
        </w:rPr>
        <w:t xml:space="preserve">GET /v1/persons/{personId}/sanctions-status returns the most recent sanctions screening outcome for the canonical person identified by personId. The response includes the screening timestamp, the sanctions corpora screened against, the match outcome per corpus (none, candidate-dismissed, candidate-pending, confirmed-match), and the structured evidence references for any non-dismissed candidate match. The endpoint is used by banks during account opening and ongoing customer due diligence.</w:t>
      </w:r>
    </w:p>
    <w:p>
      <w:pPr>
        <w:pStyle w:val="Heading2"/>
        <w:spacing w:after="160" w:before="320"/>
      </w:pPr>
      <w:r>
        <w:rPr>
          <w:rFonts w:ascii="Arial" w:cs="Arial" w:eastAsia="Arial" w:hAnsi="Arial"/>
          <w:b/>
          <w:bCs/>
          <w:color w:val="1A1A1A"/>
          <w:sz w:val="28"/>
          <w:szCs w:val="28"/>
        </w:rPr>
        <w:t xml:space="preserve">REST PEP-status endpoint</w:t>
      </w:r>
    </w:p>
    <w:p>
      <w:pPr>
        <w:spacing w:after="140" w:line="320"/>
        <w:jc w:val="both"/>
      </w:pPr>
      <w:r>
        <w:rPr>
          <w:rFonts w:ascii="Arial" w:cs="Arial" w:eastAsia="Arial" w:hAnsi="Arial"/>
          <w:b w:val="false"/>
          <w:bCs w:val="false"/>
          <w:i w:val="false"/>
          <w:iCs w:val="false"/>
          <w:color w:val="2C2C2A"/>
          <w:sz w:val="22"/>
          <w:szCs w:val="22"/>
        </w:rPr>
        <w:t xml:space="preserve">GET /v1/persons/{personId}/pep-status returns the most recent PEP determination for the canonical person. The response distinguishes international PEP status (with the source feed identifier and the PEP role), sovereign domestic PEP status (with the role and effective interval), and family-association PEP status (with the family relationship to the named PEP). PEP-status responses do not constitute a finding of wrongdoing; consumers using the response in enhanced-due-diligence workflows are expected to apply the response appropriately.</w:t>
      </w:r>
    </w:p>
    <w:p>
      <w:pPr>
        <w:pStyle w:val="Heading2"/>
        <w:spacing w:after="160" w:before="320"/>
      </w:pPr>
      <w:r>
        <w:rPr>
          <w:rFonts w:ascii="Arial" w:cs="Arial" w:eastAsia="Arial" w:hAnsi="Arial"/>
          <w:b/>
          <w:bCs/>
          <w:color w:val="1A1A1A"/>
          <w:sz w:val="28"/>
          <w:szCs w:val="28"/>
        </w:rPr>
        <w:t xml:space="preserve">GraphQL federated query — ownership chain</w:t>
      </w:r>
    </w:p>
    <w:p>
      <w:pPr>
        <w:spacing w:after="140" w:line="320"/>
        <w:jc w:val="both"/>
      </w:pPr>
      <w:r>
        <w:rPr>
          <w:rFonts w:ascii="Arial" w:cs="Arial" w:eastAsia="Arial" w:hAnsi="Arial"/>
          <w:b w:val="false"/>
          <w:bCs w:val="false"/>
          <w:i w:val="false"/>
          <w:iCs w:val="false"/>
          <w:color w:val="2C2C2A"/>
          <w:sz w:val="22"/>
          <w:szCs w:val="22"/>
        </w:rPr>
        <w:t xml:space="preserve">The GraphQL gateway supports complex federated queries traversing multiple domain services. A representative query: “given an entity identifier, return the entity’s metadata, its declared beneficial owners, the ownership path from each beneficial owner to the entity (including intermediate entities), the sanctions and PEP status of each beneficial owner, the most recent risk flags on the entity, and the most recent verification event with its stage-level outcomes.” This query traverses the Entity Service, the Person Service, the Ownership Service, the Risk Service, and the Verification Service in a single round trip from the consumer’s perspective. Query cost analysis evaluates the federated cost before execution; queries exceeding the consumer’s budget are rejected with a structured error indicating the cost and the budget.</w:t>
      </w:r>
    </w:p>
    <w:p>
      <w:pPr>
        <w:pStyle w:val="Heading2"/>
        <w:spacing w:after="160" w:before="320"/>
      </w:pPr>
      <w:r>
        <w:rPr>
          <w:rFonts w:ascii="Arial" w:cs="Arial" w:eastAsia="Arial" w:hAnsi="Arial"/>
          <w:b/>
          <w:bCs/>
          <w:color w:val="1A1A1A"/>
          <w:sz w:val="28"/>
          <w:szCs w:val="28"/>
        </w:rPr>
        <w:t xml:space="preserve">Webhook — ARMP bid submission</w:t>
      </w:r>
    </w:p>
    <w:p>
      <w:pPr>
        <w:spacing w:after="140" w:line="320"/>
        <w:jc w:val="both"/>
      </w:pPr>
      <w:r>
        <w:rPr>
          <w:rFonts w:ascii="Arial" w:cs="Arial" w:eastAsia="Arial" w:hAnsi="Arial"/>
          <w:b w:val="false"/>
          <w:bCs w:val="false"/>
          <w:i w:val="false"/>
          <w:iCs w:val="false"/>
          <w:color w:val="2C2C2A"/>
          <w:sz w:val="22"/>
          <w:szCs w:val="22"/>
        </w:rPr>
        <w:t xml:space="preserve">The ARMP integration’s synchronous webhook is invoked at bid submission. The webhook request payload includes the bidding entity identifier, the tender reference, the awarding authority identifier, and the bid metadata. The webhook response payload includes the bidding entity’s verified beneficial-ownership chain, the sanctions and PEP status of each beneficial owner, the conflict-of-interest analysis against the awarding authority (a structured list of beneficial-ownership-mediated relationships between the bidder and the awarding authority’s named officials), and a structured risk classification (clean, flagged-for-review, blocked). The response is delivered within the two-second SLO; on SLO breach, ARMP’s integration contract requires holding the bid pending platform recovery.</w:t>
      </w:r>
    </w:p>
    <w:p>
      <w:pPr>
        <w:pStyle w:val="Heading1"/>
        <w:pageBreakBefore/>
        <w:spacing w:after="240" w:before="480"/>
      </w:pPr>
      <w:r>
        <w:rPr>
          <w:rFonts w:ascii="Arial" w:cs="Arial" w:eastAsia="Arial" w:hAnsi="Arial"/>
          <w:b/>
          <w:bCs/>
          <w:color w:val="1A1A1A"/>
          <w:sz w:val="36"/>
          <w:szCs w:val="36"/>
        </w:rPr>
        <w:t xml:space="preserve">Appendix B — Verification Engine Pseudocode</w:t>
      </w:r>
    </w:p>
    <w:p>
      <w:pPr>
        <w:spacing w:after="140" w:line="320"/>
        <w:jc w:val="both"/>
      </w:pPr>
      <w:r>
        <w:rPr>
          <w:rFonts w:ascii="Arial" w:cs="Arial" w:eastAsia="Arial" w:hAnsi="Arial"/>
          <w:b w:val="false"/>
          <w:bCs w:val="false"/>
          <w:i w:val="false"/>
          <w:iCs w:val="false"/>
          <w:color w:val="2C2C2A"/>
          <w:sz w:val="22"/>
          <w:szCs w:val="22"/>
        </w:rPr>
        <w:t xml:space="preserve">This appendix provides illustrative pseudocode for the verification engine’s pipeline orchestration and the Dempster–Shafer fusion at Stage 8. Production code in Rust is materially more detailed; the pseudocode is for reader orientation.</w:t>
      </w:r>
    </w:p>
    <w:p>
      <w:pPr>
        <w:spacing w:after="140" w:line="320"/>
        <w:jc w:val="both"/>
      </w:pPr>
      <w:r>
        <w:rPr>
          <w:rFonts w:ascii="Arial" w:cs="Arial" w:eastAsia="Arial" w:hAnsi="Arial"/>
          <w:b w:val="false"/>
          <w:bCs w:val="false"/>
          <w:i w:val="false"/>
          <w:iCs w:val="false"/>
          <w:color w:val="2C2C2A"/>
          <w:sz w:val="22"/>
          <w:szCs w:val="22"/>
        </w:rPr>
        <w:t xml:space="preserve">Pipeline orchestration (Rust, simplified):</w:t>
      </w:r>
    </w:p>
    <w:p>
      <w:pPr>
        <w:spacing w:after="140" w:line="320"/>
        <w:jc w:val="both"/>
      </w:pPr>
      <w:r>
        <w:rPr>
          <w:rFonts w:ascii="Arial" w:cs="Arial" w:eastAsia="Arial" w:hAnsi="Arial"/>
          <w:b w:val="false"/>
          <w:bCs w:val="false"/>
          <w:i w:val="false"/>
          <w:iCs w:val="false"/>
          <w:color w:val="2C2C2A"/>
          <w:sz w:val="22"/>
          <w:szCs w:val="22"/>
        </w:rPr>
        <w:t xml:space="preserve">    async fn run_pipeline(declaration: Declaration) -&gt; VerificationOutcome {</w:t>
      </w:r>
    </w:p>
    <w:p>
      <w:pPr>
        <w:spacing w:after="140" w:line="320"/>
        <w:jc w:val="both"/>
      </w:pPr>
      <w:r>
        <w:rPr>
          <w:rFonts w:ascii="Arial" w:cs="Arial" w:eastAsia="Arial" w:hAnsi="Arial"/>
          <w:b w:val="false"/>
          <w:bCs w:val="false"/>
          <w:i w:val="false"/>
          <w:iCs w:val="false"/>
          <w:color w:val="2C2C2A"/>
          <w:sz w:val="22"/>
          <w:szCs w:val="22"/>
        </w:rPr>
        <w:t xml:space="preserve">      let s1 = stage_1_validation(&amp;declaration).await?;</w:t>
      </w:r>
    </w:p>
    <w:p>
      <w:pPr>
        <w:spacing w:after="140" w:line="320"/>
        <w:jc w:val="both"/>
      </w:pPr>
      <w:r>
        <w:rPr>
          <w:rFonts w:ascii="Arial" w:cs="Arial" w:eastAsia="Arial" w:hAnsi="Arial"/>
          <w:b w:val="false"/>
          <w:bCs w:val="false"/>
          <w:i w:val="false"/>
          <w:iCs w:val="false"/>
          <w:color w:val="2C2C2A"/>
          <w:sz w:val="22"/>
          <w:szCs w:val="22"/>
        </w:rPr>
        <w:t xml:space="preserve">      let s2 = stage_2_identity_authentication(&amp;declaration).await?;</w:t>
      </w:r>
    </w:p>
    <w:p>
      <w:pPr>
        <w:spacing w:after="140" w:line="320"/>
        <w:jc w:val="both"/>
      </w:pPr>
      <w:r>
        <w:rPr>
          <w:rFonts w:ascii="Arial" w:cs="Arial" w:eastAsia="Arial" w:hAnsi="Arial"/>
          <w:b w:val="false"/>
          <w:bCs w:val="false"/>
          <w:i w:val="false"/>
          <w:iCs w:val="false"/>
          <w:color w:val="2C2C2A"/>
          <w:sz w:val="22"/>
          <w:szCs w:val="22"/>
        </w:rPr>
        <w:t xml:space="preserve">      let (s3, s4, s5) = tokio::join!(</w:t>
      </w:r>
    </w:p>
    <w:p>
      <w:pPr>
        <w:spacing w:after="140" w:line="320"/>
        <w:jc w:val="both"/>
      </w:pPr>
      <w:r>
        <w:rPr>
          <w:rFonts w:ascii="Arial" w:cs="Arial" w:eastAsia="Arial" w:hAnsi="Arial"/>
          <w:b w:val="false"/>
          <w:bCs w:val="false"/>
          <w:i w:val="false"/>
          <w:iCs w:val="false"/>
          <w:color w:val="2C2C2A"/>
          <w:sz w:val="22"/>
          <w:szCs w:val="22"/>
        </w:rPr>
        <w:t xml:space="preserve">        stage_3_sanctions_screening(&amp;declaration),</w:t>
      </w:r>
    </w:p>
    <w:p>
      <w:pPr>
        <w:spacing w:after="140" w:line="320"/>
        <w:jc w:val="both"/>
      </w:pPr>
      <w:r>
        <w:rPr>
          <w:rFonts w:ascii="Arial" w:cs="Arial" w:eastAsia="Arial" w:hAnsi="Arial"/>
          <w:b w:val="false"/>
          <w:bCs w:val="false"/>
          <w:i w:val="false"/>
          <w:iCs w:val="false"/>
          <w:color w:val="2C2C2A"/>
          <w:sz w:val="22"/>
          <w:szCs w:val="22"/>
        </w:rPr>
        <w:t xml:space="preserve">        stage_4_pep_screening(&amp;declaration),</w:t>
      </w:r>
    </w:p>
    <w:p>
      <w:pPr>
        <w:spacing w:after="140" w:line="320"/>
        <w:jc w:val="both"/>
      </w:pPr>
      <w:r>
        <w:rPr>
          <w:rFonts w:ascii="Arial" w:cs="Arial" w:eastAsia="Arial" w:hAnsi="Arial"/>
          <w:b w:val="false"/>
          <w:bCs w:val="false"/>
          <w:i w:val="false"/>
          <w:iCs w:val="false"/>
          <w:color w:val="2C2C2A"/>
          <w:sz w:val="22"/>
          <w:szCs w:val="22"/>
        </w:rPr>
        <w:t xml:space="preserve">        stage_5_adverse_media(&amp;declaration),</w:t>
      </w:r>
    </w:p>
    <w:p>
      <w:pPr>
        <w:spacing w:after="140" w:line="320"/>
        <w:jc w:val="both"/>
      </w:pPr>
      <w:r>
        <w:rPr>
          <w:rFonts w:ascii="Arial" w:cs="Arial" w:eastAsia="Arial" w:hAnsi="Arial"/>
          <w:b w:val="false"/>
          <w:bCs w:val="false"/>
          <w:i w:val="false"/>
          <w:iCs w:val="false"/>
          <w:color w:val="2C2C2A"/>
          <w:sz w:val="22"/>
          <w:szCs w:val="22"/>
        </w:rPr>
        <w:t xml:space="preserve">      );</w:t>
      </w:r>
    </w:p>
    <w:p>
      <w:pPr>
        <w:spacing w:after="140" w:line="320"/>
        <w:jc w:val="both"/>
      </w:pPr>
      <w:r>
        <w:rPr>
          <w:rFonts w:ascii="Arial" w:cs="Arial" w:eastAsia="Arial" w:hAnsi="Arial"/>
          <w:b w:val="false"/>
          <w:bCs w:val="false"/>
          <w:i w:val="false"/>
          <w:iCs w:val="false"/>
          <w:color w:val="2C2C2A"/>
          <w:sz w:val="22"/>
          <w:szCs w:val="22"/>
        </w:rPr>
        <w:t xml:space="preserve">      let (s6, s7) = tokio::join!(</w:t>
      </w:r>
    </w:p>
    <w:p>
      <w:pPr>
        <w:spacing w:after="140" w:line="320"/>
        <w:jc w:val="both"/>
      </w:pPr>
      <w:r>
        <w:rPr>
          <w:rFonts w:ascii="Arial" w:cs="Arial" w:eastAsia="Arial" w:hAnsi="Arial"/>
          <w:b w:val="false"/>
          <w:bCs w:val="false"/>
          <w:i w:val="false"/>
          <w:iCs w:val="false"/>
          <w:color w:val="2C2C2A"/>
          <w:sz w:val="22"/>
          <w:szCs w:val="22"/>
        </w:rPr>
        <w:t xml:space="preserve">        stage_6_pattern_detection(&amp;declaration, &amp;s2),</w:t>
      </w:r>
    </w:p>
    <w:p>
      <w:pPr>
        <w:spacing w:after="140" w:line="320"/>
        <w:jc w:val="both"/>
      </w:pPr>
      <w:r>
        <w:rPr>
          <w:rFonts w:ascii="Arial" w:cs="Arial" w:eastAsia="Arial" w:hAnsi="Arial"/>
          <w:b w:val="false"/>
          <w:bCs w:val="false"/>
          <w:i w:val="false"/>
          <w:iCs w:val="false"/>
          <w:color w:val="2C2C2A"/>
          <w:sz w:val="22"/>
          <w:szCs w:val="22"/>
        </w:rPr>
        <w:t xml:space="preserve">        stage_7_cross_source_triangulation(&amp;declaration, &amp;s2),</w:t>
      </w:r>
    </w:p>
    <w:p>
      <w:pPr>
        <w:spacing w:after="140" w:line="320"/>
        <w:jc w:val="both"/>
      </w:pPr>
      <w:r>
        <w:rPr>
          <w:rFonts w:ascii="Arial" w:cs="Arial" w:eastAsia="Arial" w:hAnsi="Arial"/>
          <w:b w:val="false"/>
          <w:bCs w:val="false"/>
          <w:i w:val="false"/>
          <w:iCs w:val="false"/>
          <w:color w:val="2C2C2A"/>
          <w:sz w:val="22"/>
          <w:szCs w:val="22"/>
        </w:rPr>
        <w:t xml:space="preserve">      );</w:t>
      </w:r>
    </w:p>
    <w:p>
      <w:pPr>
        <w:spacing w:after="140" w:line="320"/>
        <w:jc w:val="both"/>
      </w:pPr>
      <w:r>
        <w:rPr>
          <w:rFonts w:ascii="Arial" w:cs="Arial" w:eastAsia="Arial" w:hAnsi="Arial"/>
          <w:b w:val="false"/>
          <w:bCs w:val="false"/>
          <w:i w:val="false"/>
          <w:iCs w:val="false"/>
          <w:color w:val="2C2C2A"/>
          <w:sz w:val="22"/>
          <w:szCs w:val="22"/>
        </w:rPr>
        <w:t xml:space="preserve">      let fused = stage_8_dempster_shafer_fusion(&amp;s2, &amp;s3, &amp;s4, &amp;s5, &amp;s6, &amp;s7);</w:t>
      </w:r>
    </w:p>
    <w:p>
      <w:pPr>
        <w:spacing w:after="140" w:line="320"/>
        <w:jc w:val="both"/>
      </w:pPr>
      <w:r>
        <w:rPr>
          <w:rFonts w:ascii="Arial" w:cs="Arial" w:eastAsia="Arial" w:hAnsi="Arial"/>
          <w:b w:val="false"/>
          <w:bCs w:val="false"/>
          <w:i w:val="false"/>
          <w:iCs w:val="false"/>
          <w:color w:val="2C2C2A"/>
          <w:sz w:val="22"/>
          <w:szCs w:val="22"/>
        </w:rPr>
        <w:t xml:space="preserve">      let lane = stage_9_lane_routing(&amp;fused);</w:t>
      </w:r>
    </w:p>
    <w:p>
      <w:pPr>
        <w:spacing w:after="140" w:line="320"/>
        <w:jc w:val="both"/>
      </w:pPr>
      <w:r>
        <w:rPr>
          <w:rFonts w:ascii="Arial" w:cs="Arial" w:eastAsia="Arial" w:hAnsi="Arial"/>
          <w:b w:val="false"/>
          <w:bCs w:val="false"/>
          <w:i w:val="false"/>
          <w:iCs w:val="false"/>
          <w:color w:val="2C2C2A"/>
          <w:sz w:val="22"/>
          <w:szCs w:val="22"/>
        </w:rPr>
        <w:t xml:space="preserve">      VerificationOutcome { stages: [s1, s2, s3, s4, s5, s6, s7, fused, lane], lane }</w:t>
      </w:r>
    </w:p>
    <w:p>
      <w:pPr>
        <w:spacing w:after="140" w:line="320"/>
        <w:jc w:val="both"/>
      </w:pPr>
      <w:r>
        <w:rPr>
          <w:rFonts w:ascii="Arial" w:cs="Arial" w:eastAsia="Arial" w:hAnsi="Arial"/>
          <w:b w:val="false"/>
          <w:bCs w:val="false"/>
          <w:i w:val="false"/>
          <w:iCs w:val="false"/>
          <w:color w:val="2C2C2A"/>
          <w:sz w:val="22"/>
          <w:szCs w:val="22"/>
        </w:rPr>
        <w:t xml:space="preserve">    }</w:t>
      </w:r>
    </w:p>
    <w:p>
      <w:pPr>
        <w:spacing w:after="140" w:line="320"/>
        <w:jc w:val="both"/>
      </w:pPr>
      <w:r>
        <w:rPr>
          <w:rFonts w:ascii="Arial" w:cs="Arial" w:eastAsia="Arial" w:hAnsi="Arial"/>
          <w:b w:val="false"/>
          <w:bCs w:val="false"/>
          <w:i w:val="false"/>
          <w:iCs w:val="false"/>
          <w:color w:val="2C2C2A"/>
          <w:sz w:val="22"/>
          <w:szCs w:val="22"/>
        </w:rPr>
        <w:t xml:space="preserve">Dempster–Shafer fusion produces a pair of mass functions, one over the authenticity hypothesis space and one over the risk hypothesis space. The frame of discernment for authenticity is {true, false}; basic probability assignments from each evidence source are combined using Dempster’s rule. The belief in ‘true’ (the lower bound on confidence) and the plausibility of ‘true’ (the upper bound, accounting for ignorance) are computed and reported with the structured evidence. Lane routing in Stage 9 applies thresholds to belief and plausibility, with the green-lane requirement being both belief above the green threshold and the gap between belief and plausibility (the ignorance measure) below the green-lane ignorance threshold. The latter condition prevents declarations from being green-laned simply because no evidence is available either way.</w:t>
      </w:r>
    </w:p>
    <w:p>
      <w:pPr>
        <w:pStyle w:val="Heading1"/>
        <w:pageBreakBefore/>
        <w:spacing w:after="240" w:before="480"/>
      </w:pPr>
      <w:r>
        <w:rPr>
          <w:rFonts w:ascii="Arial" w:cs="Arial" w:eastAsia="Arial" w:hAnsi="Arial"/>
          <w:b/>
          <w:bCs/>
          <w:color w:val="1A1A1A"/>
          <w:sz w:val="36"/>
          <w:szCs w:val="36"/>
        </w:rPr>
        <w:t xml:space="preserve">Appendix C — BODS Mapping</w:t>
      </w:r>
    </w:p>
    <w:p>
      <w:pPr>
        <w:spacing w:after="140" w:line="320"/>
        <w:jc w:val="both"/>
      </w:pPr>
      <w:r>
        <w:rPr>
          <w:rFonts w:ascii="Arial" w:cs="Arial" w:eastAsia="Arial" w:hAnsi="Arial"/>
          <w:b w:val="false"/>
          <w:bCs w:val="false"/>
          <w:i w:val="false"/>
          <w:iCs w:val="false"/>
          <w:color w:val="2C2C2A"/>
          <w:sz w:val="22"/>
          <w:szCs w:val="22"/>
        </w:rPr>
        <w:t xml:space="preserve">This appendix specifies the mapping from RÉCOR’s canonical data model to the Beneficial Ownership Data Standard version 0.4 statements. The mapping is the basis of the BODS export feed consumed by Open Ownership and by other international consumers.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RÉCOR concept</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BODS statement</w:t>
            </w:r>
          </w:p>
        </w:tc>
        <w:tc>
          <w:tcPr>
            <w:tcW w:type="dxa" w:w="3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Mapping notes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NaturalPerson with verified IdentityClaim</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PersonStatement</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 identifier mapped from the platform UUID; name and date of birth mapped directly; nationality mapped; identifiers (CNI, passport) mapped to the BODS identifier scheme with scheme identifier indicating the issuer.</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LegalEntity</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EntityStatement</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identifier mapped from the platform UUID; canonical name mapped; legal form mapped to BODS entityType taxonomy; registered address mapped; founding date mapped.</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OwnershipInterest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OwnershipOrControlStatement (interest type: shareholding)</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Subject and interested-party identifiers mapped; share-percentage mapped; type of interest mapped; validity interval mapped.</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ControlInterest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OwnershipOrControlStatement (interest type: control)</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Same mapping pattern as OwnershipInterest with control-mechanism description in the interest details.</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provenance</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Statement annotation with source reference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declaration that established each statement is recorded in the BODS statement’s source field with the platform’s declaration identifier.</w:t>
            </w:r>
          </w:p>
        </w:tc>
      </w:tr>
      <w:tr>
        <w:tc>
          <w:tcPr>
            <w:tcW w:type="dxa" w:w="3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Cryptographic anchoring</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Statement annotation with anchor reference</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The OpenTimestamps anchor coordinates for the ledger transaction containing the statement’s underlying declaration is recorded as a custom annotation, supporting third-party verification of the statement’s registry-time integrity.</w:t>
            </w:r>
          </w:p>
        </w:tc>
      </w:tr>
    </w:tbl>
    <w:p>
      <w:pPr>
        <w:spacing w:after="140" w:line="320"/>
        <w:jc w:val="both"/>
      </w:pPr>
      <w:r>
        <w:rPr>
          <w:rFonts w:ascii="Arial" w:cs="Arial" w:eastAsia="Arial" w:hAnsi="Arial"/>
          <w:b w:val="false"/>
          <w:bCs w:val="false"/>
          <w:i w:val="false"/>
          <w:iCs w:val="false"/>
          <w:color w:val="2C2C2A"/>
          <w:sz w:val="22"/>
          <w:szCs w:val="22"/>
        </w:rPr>
        <w:t xml:space="preserve">The BODS export feed runs nightly, with the previous day’s incremental statements published as a JSON-LD document and the full public-tier statement set published as a downloadable archive. Schema validation against the BODS schema is enforced at export time, with any validation failure investigated as a platform bug rather than emitted as malformed data.</w:t>
      </w:r>
    </w:p>
    <w:p>
      <w:pPr>
        <w:pStyle w:val="Heading1"/>
        <w:pageBreakBefore/>
        <w:spacing w:after="240" w:before="480"/>
      </w:pPr>
      <w:r>
        <w:rPr>
          <w:rFonts w:ascii="Arial" w:cs="Arial" w:eastAsia="Arial" w:hAnsi="Arial"/>
          <w:b/>
          <w:bCs/>
          <w:color w:val="1A1A1A"/>
          <w:sz w:val="36"/>
          <w:szCs w:val="36"/>
        </w:rPr>
        <w:t xml:space="preserve">Appendix D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Term</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Definition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AMLA</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 Anti-Money-Laundering Authority, the EU agency centralising AML/CFT supervision.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Agence Nationale d’Investigation Financière, the Cameroonian financial intelligence unit.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Agence de Régulation des Marchés Publics, the Cameroonian public procurement regulator.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ASYCUDA</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Automated System for Customs Data, UNCTAD’s customs management software.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Banque des États de l’Afrique Centrale, the central bank for the CEMAC monetary zone.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Beneficial Ownership Data Standard, the international interoperability standard maintained by Open Ownership.</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BUNEC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Bureau National de l’État Civil, the Cameroonian national identity register.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CEMAC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Communauté Économique et Monétaire de l’Afrique Centrale, the Central African Economic and Monetary Community.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Centre de Formalités de Création des Entreprises, the Cameroonian one-stop-shop for business registration.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Commission Nationale Anti-Corruption, the Cameroonian anti-corruption commission.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Direction Générale des Impôts, the Cameroonian tax administration.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DNFBP</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Designated Non-Financial Business or Profession, an AML/CFT regulatory category.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FATF</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Action Task Force, the inter-governmental standard-setter for AML/CFT.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FROST</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Flexible Round-Optimized Schnorr Threshold, a threshold signature protocol.</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GABAC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Groupe d’Action contre le Blanchiment d’Argent en Afrique Centrale, the FATF-style regional body for Central Africa.</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Halo2</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 zero-knowledge proof system that does not require a trusted setup.</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HSM</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Security Module.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ICIJ</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Consortium of Investigative Journalists.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MINFI</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Ministère des Finances, the Cameroonian Ministry of Finance.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NIU</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Numéro d’Identifiant Unique, the Cameroonian unique tax identifier.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 of Foreign Assets Control, the US Treasury sanctions authority.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OHADA</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Organisation pour l’Harmonisation en Afrique du Droit des Affaires, the regional commercial law harmonisation framework.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OpenTimestamps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 protocol for timestamping data on the Bitcoin blockchain.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PEP</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Politically Exposed Person, an AML/CFT regulatory category.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RCCM</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Registre du Commerce et du Crédit Mobilier, the OHADA commercial register.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SLA</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Service-Level Agreement.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SLO</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Service-Level Objective.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SNH</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Société Nationale des Hydrocarbures, the Cameroonian national hydrocarbons company.</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SPIFFE/SPIRE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Secure Production Identity Framework for Everyone / SPIFFE Runtime Environment, a workload identity framework.</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StAR</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Stolen Asset Recovery Initiative, a joint World Bank–UNODC programme.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TCS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Tribunal Criminel Spécial, the Cameroonian special criminal court with jurisdiction over major economic crime.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UNODC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United Nations Office on Drugs and Crime.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Restricted · For consortium and funder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2BA" w:sz="4" w:space="4"/>
      </w:pBdr>
      <w:jc w:val="right"/>
    </w:pPr>
    <w:r>
      <w:rPr>
        <w:rFonts w:ascii="Arial" w:cs="Arial" w:eastAsia="Arial" w:hAnsi="Arial"/>
        <w:i/>
        <w:iCs/>
        <w:color w:val="5F5E5A"/>
        <w:sz w:val="18"/>
        <w:szCs w:val="18"/>
      </w:rPr>
      <w:t xml:space="preserve">RÉCOR — Sovereign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RÉCOR — Sovereign Build Specification</dc:title>
  <dc:creator>RÉCOR Build Programme</dc:creator>
  <dc:description>National Beneficial Ownership Registry of Cameroon — architecture, engineering, and governance specification for institutional funder review</dc:description>
  <cp:lastModifiedBy>Un-named</cp:lastModifiedBy>
  <cp:revision>1</cp:revision>
  <dcterms:created xsi:type="dcterms:W3CDTF">2026-05-11T16:22:55.635Z</dcterms:created>
  <dcterms:modified xsi:type="dcterms:W3CDTF">2026-05-11T16:22:55.635Z</dcterms:modified>
</cp:coreProperties>
</file>

<file path=docProps/custom.xml><?xml version="1.0" encoding="utf-8"?>
<Properties xmlns="http://schemas.openxmlformats.org/officeDocument/2006/custom-properties" xmlns:vt="http://schemas.openxmlformats.org/officeDocument/2006/docPropsVTypes"/>
</file>