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80"/>
        <w:jc w:val="center"/>
      </w:pPr>
      <w:r>
        <w:rPr>
          <w:rFonts w:ascii="Arial" w:cs="Arial" w:eastAsia="Arial" w:hAnsi="Arial"/>
          <w:color w:val="5F5E5A"/>
          <w:spacing w:val="60"/>
          <w:sz w:val="22"/>
          <w:szCs w:val="22"/>
        </w:rPr>
        <w:t xml:space="preserve">REPUBLIC OF CAMEROON</w:t>
      </w:r>
    </w:p>
    <w:p>
      <w:pPr>
        <w:spacing w:after="40"/>
        <w:jc w:val="center"/>
      </w:pPr>
      <w:r>
        <w:rPr>
          <w:rFonts w:ascii="Arial" w:cs="Arial" w:eastAsia="Arial" w:hAnsi="Arial"/>
          <w:i/>
          <w:iCs/>
          <w:color w:val="5F5E5A"/>
          <w:sz w:val="18"/>
          <w:szCs w:val="18"/>
        </w:rPr>
        <w:t xml:space="preserve">Peace · Work · Fatherland</w:t>
      </w:r>
    </w:p>
    <w:p>
      <w:pPr>
        <w:spacing w:after="700"/>
        <w:jc w:val="center"/>
      </w:pPr>
      <w:r>
        <w:rPr>
          <w:rFonts w:ascii="Arial" w:cs="Arial" w:eastAsia="Arial" w:hAnsi="Arial"/>
          <w:color w:val="5F5E5A"/>
          <w:sz w:val="20"/>
          <w:szCs w:val="20"/>
        </w:rPr>
        <w:t xml:space="preserve">Ministry of Finance  ·  Ministry of Justice</w:t>
      </w:r>
    </w:p>
    <w:p>
      <w:pPr>
        <w:spacing w:after="60"/>
        <w:jc w:val="center"/>
      </w:pPr>
      <w:r>
        <w:rPr>
          <w:rFonts w:ascii="Arial" w:cs="Arial" w:eastAsia="Arial" w:hAnsi="Arial"/>
          <w:b/>
          <w:bCs/>
          <w:color w:val="0C447C"/>
          <w:spacing w:val="80"/>
          <w:sz w:val="28"/>
          <w:szCs w:val="28"/>
        </w:rPr>
        <w:t xml:space="preserve">CONCEPT NOTE</w:t>
      </w:r>
    </w:p>
    <w:p>
      <w:pPr>
        <w:spacing w:after="500"/>
        <w:jc w:val="center"/>
      </w:pPr>
      <w:r>
        <w:rPr>
          <w:rFonts w:ascii="Arial" w:cs="Arial" w:eastAsia="Arial" w:hAnsi="Arial"/>
          <w:i/>
          <w:iCs/>
          <w:color w:val="5F5E5A"/>
          <w:sz w:val="20"/>
          <w:szCs w:val="20"/>
        </w:rPr>
        <w:t xml:space="preserve">For institutional funder consultation</w:t>
      </w:r>
    </w:p>
    <w:p>
      <w:pPr>
        <w:spacing w:after="160"/>
        <w:jc w:val="center"/>
      </w:pPr>
      <w:r>
        <w:rPr>
          <w:rFonts w:ascii="Arial" w:cs="Arial" w:eastAsia="Arial" w:hAnsi="Arial"/>
          <w:b/>
          <w:bCs/>
          <w:color w:val="1A1A1A"/>
          <w:sz w:val="84"/>
          <w:szCs w:val="84"/>
        </w:rPr>
        <w:t xml:space="preserve">RÉCOR</w:t>
      </w:r>
    </w:p>
    <w:p>
      <w:pPr>
        <w:spacing w:after="80"/>
        <w:jc w:val="center"/>
      </w:pPr>
      <w:r>
        <w:rPr>
          <w:rFonts w:ascii="Arial" w:cs="Arial" w:eastAsia="Arial" w:hAnsi="Arial"/>
          <w:i/>
          <w:iCs/>
          <w:color w:val="0C447C"/>
          <w:sz w:val="26"/>
          <w:szCs w:val="26"/>
        </w:rPr>
        <w:t xml:space="preserve">Registre de l’Effective Contrôle et Origine Réelle</w:t>
      </w:r>
    </w:p>
    <w:p>
      <w:pPr>
        <w:spacing w:after="700"/>
        <w:jc w:val="center"/>
      </w:pPr>
      <w:r>
        <w:rPr>
          <w:rFonts w:ascii="Arial" w:cs="Arial" w:eastAsia="Arial" w:hAnsi="Arial"/>
          <w:color w:val="2C2C2A"/>
          <w:sz w:val="22"/>
          <w:szCs w:val="22"/>
        </w:rPr>
        <w:t xml:space="preserve">National Beneficial Ownership Registry of Cameroon</w:t>
      </w:r>
    </w:p>
    <w:p>
      <w:pPr>
        <w:spacing w:after="180"/>
        <w:jc w:val="center"/>
      </w:pPr>
      <w:r>
        <w:rPr>
          <w:rFonts w:ascii="Arial" w:cs="Arial" w:eastAsia="Arial" w:hAnsi="Arial"/>
          <w:b/>
          <w:bCs/>
          <w:color w:val="5F5E5A"/>
          <w:spacing w:val="40"/>
          <w:sz w:val="18"/>
          <w:szCs w:val="18"/>
        </w:rPr>
        <w:t xml:space="preserve">PROJECT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Field</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Value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 name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RÉCOR — National Beneficial Ownership Registry of Cameroon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 sector</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financial governance · Anti-corruption · AML/CFT institutional infrastructure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 country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Republic of Cameroon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authority</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Government of the Republic of Cameroon (lead: Ministry of Finance, co-lead: Ministry of Justice)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Implementing consortium</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Ten organisations: CFCE, MINFI, DGI, ANIF, CONAC, TCS, ARMP, BEAC, plus one civil society seat and one rotating international observer seat</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Proposed funding partners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World Bank Group (Integrity VPU, IDA), International Monetary Fund (MCM Department, AFRITAC Central), European Union (AMLA, EU Delegation), UNODC (StAR Initiative, goAML programme), GIZ (Good Financial Governance), with technical-evaluation reference to FATF and GABAC</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 project cost (indicative)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USD 18–24 million over 18–24 months (build) plus USD 6–8 million per year (steady-state operations)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 duration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 months from funding close to production launch</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Geographic coverage</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National coverage of the territory of Cameroon, with cross-border interoperability through BODS export and INTERPOL/StAR channels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 alignment</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Cameroon SND30 Pillar 4 (Governance, Decentralisation, and State Management) · FATF Recommendation 24 · SDG 16 (Peace, Justice, and Strong Institutions) · African Union Agenda 2063</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Concept note version</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 · Draft for funder consultation</w:t>
            </w:r>
          </w:p>
        </w:tc>
      </w:tr>
    </w:tbl>
    <w:p>
      <w:r>
        <w:br w:type="page"/>
      </w:r>
    </w:p>
    <w:p>
      <w:pPr>
        <w:pStyle w:val="Heading1"/>
        <w:pageBreakBefore/>
        <w:spacing w:after="240" w:before="480"/>
      </w:pPr>
      <w:r>
        <w:rPr>
          <w:rFonts w:ascii="Arial" w:cs="Arial" w:eastAsia="Arial" w:hAnsi="Arial"/>
          <w:b/>
          <w:bCs/>
          <w:color w:val="1A1A1A"/>
          <w:sz w:val="36"/>
          <w:szCs w:val="36"/>
        </w:rPr>
        <w:t xml:space="preserve">Executive Summary</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RÉCOR is the national beneficial ownership registry that closes the operational gap between Cameroon’s stated commitment to anti-money-laundering reform and the institutional capacity required to deliver it. The platform forces every legal entity operating in Cameroon to disclose the natural person who ultimately controls it, verifies that disclosure against adversarial concealment, and serves the verified truth to every institution whose mandate depends on it — procurement, tax administration, financial intelligence, banking supervision, customs, anti-corruption, and international cooperation.</w:t>
      </w:r>
    </w:p>
    <w:p>
      <w:pPr>
        <w:spacing w:after="140" w:line="320"/>
        <w:jc w:val="both"/>
      </w:pPr>
      <w:r>
        <w:rPr>
          <w:rFonts w:ascii="Arial" w:cs="Arial" w:eastAsia="Arial" w:hAnsi="Arial"/>
          <w:b w:val="false"/>
          <w:bCs w:val="false"/>
          <w:i w:val="false"/>
          <w:iCs w:val="false"/>
          <w:color w:val="2C2C2A"/>
          <w:sz w:val="22"/>
          <w:szCs w:val="22"/>
        </w:rPr>
        <w:t xml:space="preserve">Cameroon has been under increased monitoring by the Financial Action Task Force since June 2023. As of the February 2026 FATF Plenary, four substantive action items remain on the country’s active programme: risk-based supervision of banks and designated non-financial businesses and professions, enhanced dissemination of financial intelligence by the FIU, implementation of seizure and confiscation regimes, and effective implementation of targeted financial sanctions for terrorist and proliferation financing. The June 2025 Plenary credited Cameroon with establishing a mechanism to maintain beneficial ownership information; the existence test is therefore satisfied. The operational test is not. None of the four remaining action items can be delivered at the level FATF requires without verified, queryable beneficial ownership data feeding the supervisory, intelligence, and enforcement workflows.</w:t>
      </w:r>
    </w:p>
    <w:p>
      <w:pPr>
        <w:spacing w:after="140" w:line="320"/>
        <w:jc w:val="both"/>
      </w:pPr>
      <w:r>
        <w:rPr>
          <w:rFonts w:ascii="Arial" w:cs="Arial" w:eastAsia="Arial" w:hAnsi="Arial"/>
          <w:b w:val="false"/>
          <w:bCs w:val="false"/>
          <w:i w:val="false"/>
          <w:iCs w:val="false"/>
          <w:color w:val="2C2C2A"/>
          <w:sz w:val="22"/>
          <w:szCs w:val="22"/>
        </w:rPr>
        <w:t xml:space="preserve">This concept note proposes the establishment of RÉCOR — Registre de l’Effective Contrôle et Origine Réelle — as the upstream operational infrastructure that resolves this gap. The platform is engineered to sovereign standard, governed by a ten-organisation consortium that distributes authority across state institutions and civil society oversight, and integrated with eight named institutional consumers whose mandates depend on beneficial ownership transparency. The platform is sized for Cameroon’s scale (between three hundred thousand and five hundred thousand active legal entities), built on architecture that survives political turnover, and operated under a transparency regime that prevents capture by any single faction.</w:t>
      </w:r>
    </w:p>
    <w:p>
      <w:pPr>
        <w:pStyle w:val="Heading2"/>
        <w:spacing w:after="160" w:before="320"/>
      </w:pPr>
      <w:r>
        <w:rPr>
          <w:rFonts w:ascii="Arial" w:cs="Arial" w:eastAsia="Arial" w:hAnsi="Arial"/>
          <w:b/>
          <w:bCs/>
          <w:color w:val="1A1A1A"/>
          <w:sz w:val="28"/>
          <w:szCs w:val="28"/>
        </w:rPr>
        <w:t xml:space="preserve">Strategic value at stake</w:t>
      </w:r>
    </w:p>
    <w:p>
      <w:pPr>
        <w:spacing w:after="140" w:line="320"/>
        <w:jc w:val="both"/>
      </w:pPr>
      <w:r>
        <w:rPr>
          <w:rFonts w:ascii="Arial" w:cs="Arial" w:eastAsia="Arial" w:hAnsi="Arial"/>
          <w:b w:val="false"/>
          <w:bCs w:val="false"/>
          <w:i w:val="false"/>
          <w:iCs w:val="false"/>
          <w:color w:val="2C2C2A"/>
          <w:sz w:val="22"/>
          <w:szCs w:val="22"/>
        </w:rPr>
        <w:t xml:space="preserve">The economic and institutional value at stake is concrete and quantifiable. The platform addresses an annual value-at-risk in the range of seven hundred and thirty million to one billion seven hundred and eighty million United States dollars, across four categories: procurement corruption through undeclared conflicts of interest, transfer pricing fraud across affiliated entities under shared ownership, illicit financial flows routed through Cameroonian fronts, and the de-risking premium that European correspondent banks apply to Cameroonian counterparties when ultimate ownership cannot be verified. Each of these categories is itself an order of magnitude larger than the platform’s build cost, and the platform’s sustained operation is engineered to recover the build investment within the first year of full operation and the lifetime operating cost within the first three years.</w:t>
      </w:r>
    </w:p>
    <w:p>
      <w:pPr>
        <w:pStyle w:val="Heading2"/>
        <w:spacing w:after="160" w:before="320"/>
      </w:pPr>
      <w:r>
        <w:rPr>
          <w:rFonts w:ascii="Arial" w:cs="Arial" w:eastAsia="Arial" w:hAnsi="Arial"/>
          <w:b/>
          <w:bCs/>
          <w:color w:val="1A1A1A"/>
          <w:sz w:val="28"/>
          <w:szCs w:val="28"/>
        </w:rPr>
        <w:t xml:space="preserve">Why the timing is right</w:t>
      </w:r>
    </w:p>
    <w:p>
      <w:pPr>
        <w:spacing w:after="140" w:line="320"/>
        <w:jc w:val="both"/>
      </w:pPr>
      <w:r>
        <w:rPr>
          <w:rFonts w:ascii="Arial" w:cs="Arial" w:eastAsia="Arial" w:hAnsi="Arial"/>
          <w:b w:val="false"/>
          <w:bCs w:val="false"/>
          <w:i w:val="false"/>
          <w:iCs w:val="false"/>
          <w:color w:val="2C2C2A"/>
          <w:sz w:val="22"/>
          <w:szCs w:val="22"/>
        </w:rPr>
        <w:t xml:space="preserve">Three windows converge in 2026 and 2027 that make this project fundable now in a way that it would not be fundable in two years. First, the FATF grey-list exit cycle: Cameroon’s self-imposed target of end-2026 will likely slip and the FATF Plenary cycle through 2026 and 2027 will continue to apply institutional pressure for measurable, visible AML/CFT progress, of which RÉCOR is the most internationally legible. Second, the EU Anti-Money-Laundering Authority operationalisation cycle: jurisdictions that present credible sovereign beneficial ownership infrastructure during AMLA’s establishment receive substantially preferential treatment in subsequent risk-based engagement. Third, the World Bank IDA-21 cycle: Bank operations in Cameroon over the next three years are constrained by fiduciary risk assessment, and demonstrable beneficial ownership infrastructure changes the risk profile of the entire active portfolio.</w:t>
      </w:r>
    </w:p>
    <w:p>
      <w:pPr>
        <w:pStyle w:val="Heading2"/>
        <w:spacing w:after="160" w:before="320"/>
      </w:pPr>
      <w:r>
        <w:rPr>
          <w:rFonts w:ascii="Arial" w:cs="Arial" w:eastAsia="Arial" w:hAnsi="Arial"/>
          <w:b/>
          <w:bCs/>
          <w:color w:val="1A1A1A"/>
          <w:sz w:val="28"/>
          <w:szCs w:val="28"/>
        </w:rPr>
        <w:t xml:space="preserve">Funding rationale and multi-stakeholder convergence</w:t>
      </w:r>
    </w:p>
    <w:p>
      <w:pPr>
        <w:spacing w:after="140" w:line="320"/>
        <w:jc w:val="both"/>
      </w:pPr>
      <w:r>
        <w:rPr>
          <w:rFonts w:ascii="Arial" w:cs="Arial" w:eastAsia="Arial" w:hAnsi="Arial"/>
          <w:b w:val="false"/>
          <w:bCs w:val="false"/>
          <w:i w:val="false"/>
          <w:iCs w:val="false"/>
          <w:color w:val="2C2C2A"/>
          <w:sz w:val="22"/>
          <w:szCs w:val="22"/>
        </w:rPr>
        <w:t xml:space="preserve">RÉCOR is structurally fundable through pooled financing because it satisfies six distinct institutional mandates simultaneously with a single platform investment. The World Bank obtains fiduciary risk reduction in active IDA operations and operational alignment with the Stolen Asset Recovery Initiative. The International Monetary Fund obtains satisfaction of AML/CFT governance benchmarks now embedded in Article IV consultations and Extended Credit Facility reviews, and substantial enablement of domestic revenue mobilisation through transfer-pricing detection. The European Union obtains the counterparty verification infrastructure required for the Sixth Anti-Money-Laundering Directive and AMLA’s operational counterparty framework. The United Nations Office on Drugs and Crime obtains real-time beneficial-ownership enrichment of ANIF’s existing goAML deployment. GIZ obtains a flagship Good Financial Governance intervention with clear measurable outcomes. FATF and GABAC obtain the upstream dependency that unblocks the four remaining grey-list action items. No funder is asked to compromise its mandate, and no funder is asked to accept that another funder’s priority is more important than its own.</w:t>
      </w:r>
    </w:p>
    <w:p>
      <w:pPr>
        <w:pStyle w:val="Heading2"/>
        <w:spacing w:after="160" w:before="320"/>
      </w:pPr>
      <w:r>
        <w:rPr>
          <w:rFonts w:ascii="Arial" w:cs="Arial" w:eastAsia="Arial" w:hAnsi="Arial"/>
          <w:b/>
          <w:bCs/>
          <w:color w:val="1A1A1A"/>
          <w:sz w:val="28"/>
          <w:szCs w:val="28"/>
        </w:rPr>
        <w:t xml:space="preserve">Project envelope at a glance</w:t>
      </w:r>
    </w:p>
    <w:p>
      <w:pPr>
        <w:pStyle w:val="ListParagraph"/>
        <w:numPr>
          <w:ilvl w:val="0"/>
          <w:numId w:val="2"/>
        </w:numPr>
        <w:spacing w:after="80" w:line="300"/>
      </w:pPr>
      <w:r>
        <w:rPr>
          <w:rFonts w:ascii="Arial" w:cs="Arial" w:eastAsia="Arial" w:hAnsi="Arial"/>
          <w:color w:val="2C2C2A"/>
          <w:sz w:val="22"/>
          <w:szCs w:val="22"/>
        </w:rPr>
        <w:t xml:space="preserve">Build investment: USD 18–24 million across an 18–24 month build phase, covering legal framework drafting and parliamentary passage, hardware infrastructure, software development across seven architectural layers, negotiation and implementation of eight institutional integrations, change management with the regulated private sector, and the first year of operations.</w:t>
      </w:r>
    </w:p>
    <w:p>
      <w:pPr>
        <w:pStyle w:val="ListParagraph"/>
        <w:numPr>
          <w:ilvl w:val="0"/>
          <w:numId w:val="2"/>
        </w:numPr>
        <w:spacing w:after="80" w:line="300"/>
      </w:pPr>
      <w:r>
        <w:rPr>
          <w:rFonts w:ascii="Arial" w:cs="Arial" w:eastAsia="Arial" w:hAnsi="Arial"/>
          <w:color w:val="2C2C2A"/>
          <w:sz w:val="22"/>
          <w:szCs w:val="22"/>
        </w:rPr>
        <w:t xml:space="preserve">Steady-state operating cost: USD 6–8 million per year, dominated by sovereign artificial intelligence inference infrastructure, Anthropic API consumption (the verification engine’s primary reasoning capability), commercial sanctions and politically-exposed-persons feed licences, and the operational team.</w:t>
      </w:r>
    </w:p>
    <w:p>
      <w:pPr>
        <w:pStyle w:val="ListParagraph"/>
        <w:numPr>
          <w:ilvl w:val="0"/>
          <w:numId w:val="2"/>
        </w:numPr>
        <w:spacing w:after="80" w:line="300"/>
      </w:pPr>
      <w:r>
        <w:rPr>
          <w:rFonts w:ascii="Arial" w:cs="Arial" w:eastAsia="Arial" w:hAnsi="Arial"/>
          <w:color w:val="2C2C2A"/>
          <w:sz w:val="22"/>
          <w:szCs w:val="22"/>
        </w:rPr>
        <w:t xml:space="preserve">Implementation: Ten-organisation consortium led by the Ministry of Finance with the Ministry of Justice as co-lead, with statutorily-grounded operational mandate and threshold-signed approval for sensitive operations.</w:t>
      </w:r>
    </w:p>
    <w:p>
      <w:pPr>
        <w:pStyle w:val="ListParagraph"/>
        <w:numPr>
          <w:ilvl w:val="0"/>
          <w:numId w:val="2"/>
        </w:numPr>
        <w:spacing w:after="80" w:line="300"/>
      </w:pPr>
      <w:r>
        <w:rPr>
          <w:rFonts w:ascii="Arial" w:cs="Arial" w:eastAsia="Arial" w:hAnsi="Arial"/>
          <w:color w:val="2C2C2A"/>
          <w:sz w:val="22"/>
          <w:szCs w:val="22"/>
        </w:rPr>
        <w:t xml:space="preserve">Phasing: Five build phases with mandatory rollout sequenced against legal framework progression and consumer institutional readiness, reaching full mandatory declaration at month twenty-four.</w:t>
      </w:r>
    </w:p>
    <w:p>
      <w:pPr>
        <w:pStyle w:val="Heading2"/>
        <w:spacing w:after="160" w:before="320"/>
      </w:pPr>
      <w:r>
        <w:rPr>
          <w:rFonts w:ascii="Arial" w:cs="Arial" w:eastAsia="Arial" w:hAnsi="Arial"/>
          <w:b/>
          <w:bCs/>
          <w:color w:val="1A1A1A"/>
          <w:sz w:val="28"/>
          <w:szCs w:val="28"/>
        </w:rPr>
        <w:t xml:space="preserve">Expected outcomes</w:t>
      </w:r>
    </w:p>
    <w:p>
      <w:pPr>
        <w:spacing w:after="140" w:line="320"/>
        <w:jc w:val="both"/>
      </w:pPr>
      <w:r>
        <w:rPr>
          <w:rFonts w:ascii="Arial" w:cs="Arial" w:eastAsia="Arial" w:hAnsi="Arial"/>
          <w:b w:val="false"/>
          <w:bCs w:val="false"/>
          <w:i w:val="false"/>
          <w:iCs w:val="false"/>
          <w:color w:val="2C2C2A"/>
          <w:sz w:val="22"/>
          <w:szCs w:val="22"/>
        </w:rPr>
        <w:t xml:space="preserve">Five development outcomes anchor the project. Each outcome is operationalised through specific indicators with quantitative or auditable qualitative targets, documented in the results framework chapter of this concept note. Outcome one establishes mandatory, verified beneficial ownership disclosure across all legal-entity classes. Outcome two operationalises sovereign verification capacity that detects adversarial concealment including the dominant front-person failure mode. Outcome three integrates verified beneficial ownership into the core workflows of eight institutional consumers. Outcome four establishes statutorily-grounded public transparency with international interoperability via the Beneficial Ownership Data Standard. Outcome five strengthens Cameroon’s overall AML/CFT operational capacity and supports grey-list exit through substantive contribution to the four remaining FATF action items.</w:t>
      </w:r>
    </w:p>
    <w:p>
      <w:pPr>
        <w:pStyle w:val="Heading2"/>
        <w:spacing w:after="160" w:before="320"/>
      </w:pPr>
      <w:r>
        <w:rPr>
          <w:rFonts w:ascii="Arial" w:cs="Arial" w:eastAsia="Arial" w:hAnsi="Arial"/>
          <w:b/>
          <w:bCs/>
          <w:color w:val="1A1A1A"/>
          <w:sz w:val="28"/>
          <w:szCs w:val="28"/>
        </w:rPr>
        <w:t xml:space="preserve">Reference to supporting documentation</w:t>
      </w:r>
    </w:p>
    <w:p>
      <w:pPr>
        <w:spacing w:after="140" w:line="320"/>
        <w:jc w:val="both"/>
      </w:pPr>
      <w:r>
        <w:rPr>
          <w:rFonts w:ascii="Arial" w:cs="Arial" w:eastAsia="Arial" w:hAnsi="Arial"/>
          <w:b w:val="false"/>
          <w:bCs w:val="false"/>
          <w:i w:val="false"/>
          <w:iCs w:val="false"/>
          <w:color w:val="2C2C2A"/>
          <w:sz w:val="22"/>
          <w:szCs w:val="22"/>
        </w:rPr>
        <w:t xml:space="preserve">This concept note is supported by the RÉCOR Sovereign Build Specification, a separately maintained ninety-two-page technical and architectural document covering the platform’s seven-layer architecture, the nine-stage adversarial verification engine, the three-tier Anthropic-primary artificial intelligence inference strategy, the canonical data model, the engineering standards calibrated as enforceable continuous-integration policy gates, the security and compliance posture, the legal framework requirements, the consortium governance model, and the full results, risk, and budget detail. Funders requiring technical assessment depth beyond what is appropriate at concept-note register are referred to that document. The two documents are designed to be read as a pair.</w:t>
      </w:r>
    </w:p>
    <w:p>
      <w:pPr>
        <w:pStyle w:val="Heading1"/>
        <w:pageBreakBefore/>
        <w:spacing w:after="240" w:before="480"/>
      </w:pPr>
      <w:r>
        <w:rPr>
          <w:rFonts w:ascii="Arial" w:cs="Arial" w:eastAsia="Arial" w:hAnsi="Arial"/>
          <w:b/>
          <w:bCs/>
          <w:color w:val="1A1A1A"/>
          <w:sz w:val="36"/>
          <w:szCs w:val="36"/>
        </w:rPr>
        <w:t xml:space="preserve">Background and Rationale</w:t>
      </w:r>
    </w:p>
    <w:p>
      <w:pPr>
        <w:pStyle w:val="Heading2"/>
        <w:spacing w:after="160" w:before="320"/>
      </w:pPr>
      <w:r>
        <w:rPr>
          <w:rFonts w:ascii="Arial" w:cs="Arial" w:eastAsia="Arial" w:hAnsi="Arial"/>
          <w:b/>
          <w:bCs/>
          <w:color w:val="1A1A1A"/>
          <w:sz w:val="28"/>
          <w:szCs w:val="28"/>
        </w:rPr>
        <w:t xml:space="preserve">Cameroon’s macroeconomic and institutional position</w:t>
      </w:r>
    </w:p>
    <w:p>
      <w:pPr>
        <w:spacing w:after="140" w:line="320"/>
        <w:jc w:val="both"/>
      </w:pPr>
      <w:r>
        <w:rPr>
          <w:rFonts w:ascii="Arial" w:cs="Arial" w:eastAsia="Arial" w:hAnsi="Arial"/>
          <w:b w:val="false"/>
          <w:bCs w:val="false"/>
          <w:i w:val="false"/>
          <w:iCs w:val="false"/>
          <w:color w:val="2C2C2A"/>
          <w:sz w:val="22"/>
          <w:szCs w:val="22"/>
        </w:rPr>
        <w:t xml:space="preserve">Cameroon is the largest economy of the Central African Economic and Monetary Community (CEMAC), accounting for approximately forty percent of the bloc’s gross domestic product. The country’s population of approximately twenty-eight million, its diversified resource base across hydrocarbons, mining, forestry, and agriculture, and its strategic geographic position at the intersection of West and Central Africa give it structural importance to regional stability and to the financial integration of Central Africa with global markets.</w:t>
      </w:r>
    </w:p>
    <w:p>
      <w:pPr>
        <w:spacing w:after="140" w:line="320"/>
        <w:jc w:val="both"/>
      </w:pPr>
      <w:r>
        <w:rPr>
          <w:rFonts w:ascii="Arial" w:cs="Arial" w:eastAsia="Arial" w:hAnsi="Arial"/>
          <w:b w:val="false"/>
          <w:bCs w:val="false"/>
          <w:i w:val="false"/>
          <w:iCs w:val="false"/>
          <w:color w:val="2C2C2A"/>
          <w:sz w:val="22"/>
          <w:szCs w:val="22"/>
        </w:rPr>
        <w:t xml:space="preserve">This structural importance is paired with persistent institutional challenges. Public financial governance has been the subject of sustained reform engagement with international partners over the past two decades, and the country’s ranking in international governance indices reflects measurable but incomplete progress. Tax-to-GDP ratio remains in the range of twelve to fourteen percent, materially below the regional benchmark and the level required to finance the country’s development priorities under its Stratégie Nationale de Développement 2020–2030 (SND30). Public procurement opacity has been repeatedly identified by the World Bank, the African Development Bank, and CONAC as a material drag on both fiscal efficiency and infrastructure quality. The Cameroonian banking system, while regulatorily robust under BEAC supervision, faces increasing pressure from European correspondent banks who cannot satisfy their own enhanced due diligence obligations against Cameroonian counterparties whose ultimate ownership cannot be verified — a phenomenon known as de-risking, which manifests as higher remittance costs, slower correspondent settlement, and attrition of correspondent banking relationships.</w:t>
      </w:r>
    </w:p>
    <w:p>
      <w:pPr>
        <w:pStyle w:val="Heading2"/>
        <w:spacing w:after="160" w:before="320"/>
      </w:pPr>
      <w:r>
        <w:rPr>
          <w:rFonts w:ascii="Arial" w:cs="Arial" w:eastAsia="Arial" w:hAnsi="Arial"/>
          <w:b/>
          <w:bCs/>
          <w:color w:val="1A1A1A"/>
          <w:sz w:val="28"/>
          <w:szCs w:val="28"/>
        </w:rPr>
        <w:t xml:space="preserve">The Financial Action Task Force engagement</w:t>
      </w:r>
    </w:p>
    <w:p>
      <w:pPr>
        <w:spacing w:after="140" w:line="320"/>
        <w:jc w:val="both"/>
      </w:pPr>
      <w:r>
        <w:rPr>
          <w:rFonts w:ascii="Arial" w:cs="Arial" w:eastAsia="Arial" w:hAnsi="Arial"/>
          <w:b w:val="false"/>
          <w:bCs w:val="false"/>
          <w:i w:val="false"/>
          <w:iCs w:val="false"/>
          <w:color w:val="2C2C2A"/>
          <w:sz w:val="22"/>
          <w:szCs w:val="22"/>
        </w:rPr>
        <w:t xml:space="preserve">Cameroon entered the Financial Action Task Force list of jurisdictions under increased monitoring — the grey list — in June 2023, following the conclusion of the country’s mutual evaluation conducted jointly by the FATF and the Action Group against Money Laundering in Central Africa (GABAC). The grey-listing was substantive, not symbolic. It triggered measurable adverse effects across multiple channels.</w:t>
      </w:r>
    </w:p>
    <w:p>
      <w:pPr>
        <w:pStyle w:val="ListParagraph"/>
        <w:numPr>
          <w:ilvl w:val="0"/>
          <w:numId w:val="2"/>
        </w:numPr>
        <w:spacing w:after="80" w:line="300"/>
      </w:pPr>
      <w:r>
        <w:rPr>
          <w:rFonts w:ascii="Arial" w:cs="Arial" w:eastAsia="Arial" w:hAnsi="Arial"/>
          <w:color w:val="2C2C2A"/>
          <w:sz w:val="22"/>
          <w:szCs w:val="22"/>
        </w:rPr>
        <w:t xml:space="preserve">European and North American correspondent banks materially elevated due-diligence costs for cross-border wires involving Cameroonian counterparties, with the cost passed through to Cameroonian banks and ultimately to the diaspora remittance corridor and to commercial trade financing.</w:t>
      </w:r>
    </w:p>
    <w:p>
      <w:pPr>
        <w:pStyle w:val="ListParagraph"/>
        <w:numPr>
          <w:ilvl w:val="0"/>
          <w:numId w:val="2"/>
        </w:numPr>
        <w:spacing w:after="80" w:line="300"/>
      </w:pPr>
      <w:r>
        <w:rPr>
          <w:rFonts w:ascii="Arial" w:cs="Arial" w:eastAsia="Arial" w:hAnsi="Arial"/>
          <w:color w:val="2C2C2A"/>
          <w:sz w:val="22"/>
          <w:szCs w:val="22"/>
        </w:rPr>
        <w:t xml:space="preserve">International investor due diligence applied higher risk premia to Cameroonian counterparties, raising the effective cost of capital for the country’s private sector and reducing foreign direct investment in periods of capital scarcity.</w:t>
      </w:r>
    </w:p>
    <w:p>
      <w:pPr>
        <w:pStyle w:val="ListParagraph"/>
        <w:numPr>
          <w:ilvl w:val="0"/>
          <w:numId w:val="2"/>
        </w:numPr>
        <w:spacing w:after="80" w:line="300"/>
      </w:pPr>
      <w:r>
        <w:rPr>
          <w:rFonts w:ascii="Arial" w:cs="Arial" w:eastAsia="Arial" w:hAnsi="Arial"/>
          <w:color w:val="2C2C2A"/>
          <w:sz w:val="22"/>
          <w:szCs w:val="22"/>
        </w:rPr>
        <w:t xml:space="preserve">Development finance institutions implemented enhanced fiduciary controls on Cameroonian operations, lengthening disbursement cycles and increasing transaction costs for both lenders and borrowers.</w:t>
      </w:r>
    </w:p>
    <w:p>
      <w:pPr>
        <w:pStyle w:val="ListParagraph"/>
        <w:numPr>
          <w:ilvl w:val="0"/>
          <w:numId w:val="2"/>
        </w:numPr>
        <w:spacing w:after="80" w:line="300"/>
      </w:pPr>
      <w:r>
        <w:rPr>
          <w:rFonts w:ascii="Arial" w:cs="Arial" w:eastAsia="Arial" w:hAnsi="Arial"/>
          <w:color w:val="2C2C2A"/>
          <w:sz w:val="22"/>
          <w:szCs w:val="22"/>
        </w:rPr>
        <w:t xml:space="preserve">Reputational signal to multilateral and bilateral partners reinforced the case made by competing jurisdictions seeking the same FDI, regional financial hub status, and concessional financing.</w:t>
      </w:r>
    </w:p>
    <w:p>
      <w:pPr>
        <w:spacing w:after="140" w:line="320"/>
        <w:jc w:val="both"/>
      </w:pPr>
      <w:r>
        <w:rPr>
          <w:rFonts w:ascii="Arial" w:cs="Arial" w:eastAsia="Arial" w:hAnsi="Arial"/>
          <w:b w:val="false"/>
          <w:bCs w:val="false"/>
          <w:i w:val="false"/>
          <w:iCs w:val="false"/>
          <w:color w:val="2C2C2A"/>
          <w:sz w:val="22"/>
          <w:szCs w:val="22"/>
        </w:rPr>
        <w:t xml:space="preserve">As of the February 2026 FATF Plenary, Cameroon remains under increased monitoring. The government’s self-imposed exit target is end-2026. By the close of the October 2025 Plenary cycle, Cameroon had completed approximately eight of twenty-four originally agreed action items, a completion rate below forty percent. The October 2025 Plenary saw the successful exit from the grey list of South Africa, Nigeria, Burkina Faso, and Mozambique; Cameroon was not among them.</w:t>
      </w:r>
    </w:p>
    <w:p>
      <w:pPr>
        <w:pStyle w:val="Heading2"/>
        <w:spacing w:after="160" w:before="320"/>
      </w:pPr>
      <w:r>
        <w:rPr>
          <w:rFonts w:ascii="Arial" w:cs="Arial" w:eastAsia="Arial" w:hAnsi="Arial"/>
          <w:b/>
          <w:bCs/>
          <w:color w:val="1A1A1A"/>
          <w:sz w:val="28"/>
          <w:szCs w:val="28"/>
        </w:rPr>
        <w:t xml:space="preserve">Where beneficial ownership sits in the FATF action plan</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The June 2025 FATF Plenary explicitly credited Cameroon with establishing a mechanism to maintain adequate, accurate, and up-to-date beneficial ownership information. By the February 2026 Plenary, beneficial ownership had dropped off the formal action plan as an outstanding deficiency. The four remaining items are now: risk-based supervision of banks and DNFBPs; financial intelligence dissemination; seizure and confiscation; and targeted financial sanctions for terrorism and proliferation financing.</w:t>
      </w:r>
    </w:p>
    <w:p>
      <w:pPr>
        <w:spacing w:after="140" w:line="320"/>
        <w:jc w:val="both"/>
      </w:pPr>
      <w:r>
        <w:rPr>
          <w:rFonts w:ascii="Arial" w:cs="Arial" w:eastAsia="Arial" w:hAnsi="Arial"/>
          <w:b w:val="false"/>
          <w:bCs w:val="false"/>
          <w:i w:val="false"/>
          <w:iCs w:val="false"/>
          <w:color w:val="2C2C2A"/>
          <w:sz w:val="22"/>
          <w:szCs w:val="22"/>
        </w:rPr>
        <w:t xml:space="preserve">This framing is critical to honest positioning of the RÉCOR project. The platform is not proposed as a remaining FATF action item. It is proposed as the upstream operational dependency for the four items that are remaining. Risk-based supervision of designated non-financial businesses and professions is unimplementable in any meaningful sense without verified beneficial ownership data: a real estate agent, an accountant, or a dealer in precious metals cannot apply enhanced due diligence to a customer whose ultimate ownership is unverifiable. Financial intelligence dissemination by ANIF cannot be operationally substantive without entity-resolution capacity that links suspicious transactions to the natural persons who ultimately benefit. Seizure and confiscation regimes cannot reach the actual proceeds of crime without identifying the natural persons whose nominee structures hold those proceeds. Targeted financial sanctions cannot be effective if sanctioned individuals can hide behind layered Cameroonian shell vehicles.</w:t>
      </w:r>
    </w:p>
    <w:p>
      <w:pPr>
        <w:spacing w:after="140" w:line="320"/>
        <w:jc w:val="both"/>
      </w:pPr>
      <w:r>
        <w:rPr>
          <w:rFonts w:ascii="Arial" w:cs="Arial" w:eastAsia="Arial" w:hAnsi="Arial"/>
          <w:b w:val="false"/>
          <w:bCs w:val="false"/>
          <w:i w:val="false"/>
          <w:iCs w:val="false"/>
          <w:color w:val="2C2C2A"/>
          <w:sz w:val="22"/>
          <w:szCs w:val="22"/>
        </w:rPr>
        <w:t xml:space="preserve">The technically literate assessor at FATF, GABAC, World Bank Integrity VPU, IMF Legal Department, or AMLA reads this framing as accurate and constructive. It avoids the trap of overclaiming — falsely positioning RÉCOR as a remaining grey-list item when the existence test was already credited — and it makes the substantively correct argument: the registry that exists today on paper satisfies the existence threshold, but the operational depth required to drive the remaining items is not yet present, and RÉCOR is what closes that gap.</w:t>
      </w:r>
    </w:p>
    <w:p>
      <w:pPr>
        <w:pStyle w:val="Heading2"/>
        <w:spacing w:after="160" w:before="320"/>
      </w:pPr>
      <w:r>
        <w:rPr>
          <w:rFonts w:ascii="Arial" w:cs="Arial" w:eastAsia="Arial" w:hAnsi="Arial"/>
          <w:b/>
          <w:bCs/>
          <w:color w:val="1A1A1A"/>
          <w:sz w:val="28"/>
          <w:szCs w:val="28"/>
        </w:rPr>
        <w:t xml:space="preserve">Alignment with Cameroon’s national development strategy</w:t>
      </w:r>
    </w:p>
    <w:p>
      <w:pPr>
        <w:spacing w:after="140" w:line="320"/>
        <w:jc w:val="both"/>
      </w:pPr>
      <w:r>
        <w:rPr>
          <w:rFonts w:ascii="Arial" w:cs="Arial" w:eastAsia="Arial" w:hAnsi="Arial"/>
          <w:b w:val="false"/>
          <w:bCs w:val="false"/>
          <w:i w:val="false"/>
          <w:iCs w:val="false"/>
          <w:color w:val="2C2C2A"/>
          <w:sz w:val="22"/>
          <w:szCs w:val="22"/>
        </w:rPr>
        <w:t xml:space="preserve">RÉCOR is directly aligned with Pillar 4 of Cameroon’s Stratégie Nationale de Développement 2020–2030 (Governance, Decentralisation, and State Management), which identifies the modernisation of public financial governance, the strengthening of anti-corruption institutions, and the improvement of public-sector integrity as priority axes. The platform contributes operationally to three of the SND30’s named sub-axes: the modernisation of public expenditure management (through the ARMP integration that surfaces procurement-relevant conflicts of interest), the strengthening of the financial information ecosystem (through the ANIF, BEAC, and DGI integrations), and the operationalisation of anti-corruption institutional capacity (through the CONAC integration that cross-references asset declarations against beneficial ownership).</w:t>
      </w:r>
    </w:p>
    <w:p>
      <w:pPr>
        <w:spacing w:after="140" w:line="320"/>
        <w:jc w:val="both"/>
      </w:pPr>
      <w:r>
        <w:rPr>
          <w:rFonts w:ascii="Arial" w:cs="Arial" w:eastAsia="Arial" w:hAnsi="Arial"/>
          <w:b w:val="false"/>
          <w:bCs w:val="false"/>
          <w:i w:val="false"/>
          <w:iCs w:val="false"/>
          <w:color w:val="2C2C2A"/>
          <w:sz w:val="22"/>
          <w:szCs w:val="22"/>
        </w:rPr>
        <w:t xml:space="preserve">The platform is also aligned with the operational priorities expressed in successive Article IV consultations between Cameroon and the IMF, with the Cameroon Country Partnership Framework agreed with the World Bank Group, with the EU’s Multi-Annual Indicative Programme for Cameroon under the Global Europe instrument, and with the African Union Agenda 2063 priority on illicit financial flows expressed through the High-Level Panel on Illicit Financial Flows from Africa (the Mbeki Panel).</w:t>
      </w:r>
    </w:p>
    <w:p>
      <w:pPr>
        <w:pStyle w:val="Heading2"/>
        <w:spacing w:after="160" w:before="320"/>
      </w:pPr>
      <w:r>
        <w:rPr>
          <w:rFonts w:ascii="Arial" w:cs="Arial" w:eastAsia="Arial" w:hAnsi="Arial"/>
          <w:b/>
          <w:bCs/>
          <w:color w:val="1A1A1A"/>
          <w:sz w:val="28"/>
          <w:szCs w:val="28"/>
        </w:rPr>
        <w:t xml:space="preserve">Why the timing is right</w:t>
      </w:r>
    </w:p>
    <w:p>
      <w:pPr>
        <w:spacing w:after="140" w:line="320"/>
        <w:jc w:val="both"/>
      </w:pPr>
      <w:r>
        <w:rPr>
          <w:rFonts w:ascii="Arial" w:cs="Arial" w:eastAsia="Arial" w:hAnsi="Arial"/>
          <w:b w:val="false"/>
          <w:bCs w:val="false"/>
          <w:i w:val="false"/>
          <w:iCs w:val="false"/>
          <w:color w:val="2C2C2A"/>
          <w:sz w:val="22"/>
          <w:szCs w:val="22"/>
        </w:rPr>
        <w:t xml:space="preserve">Three convergent windows make 2026 the right year for this platform to be funded and built. Funders aligned with any one of these windows will find their alignment reinforced by the other two.</w:t>
      </w:r>
    </w:p>
    <w:p>
      <w:pPr>
        <w:pStyle w:val="Heading3"/>
        <w:spacing w:after="120" w:before="240"/>
      </w:pPr>
      <w:r>
        <w:rPr>
          <w:rFonts w:ascii="Arial" w:cs="Arial" w:eastAsia="Arial" w:hAnsi="Arial"/>
          <w:b/>
          <w:bCs/>
          <w:color w:val="1A1A1A"/>
          <w:sz w:val="24"/>
          <w:szCs w:val="24"/>
        </w:rPr>
        <w:t xml:space="preserve">Window one — the FATF grey-list cycle</w:t>
      </w:r>
    </w:p>
    <w:p>
      <w:pPr>
        <w:spacing w:after="140" w:line="320"/>
        <w:jc w:val="both"/>
      </w:pPr>
      <w:r>
        <w:rPr>
          <w:rFonts w:ascii="Arial" w:cs="Arial" w:eastAsia="Arial" w:hAnsi="Arial"/>
          <w:b w:val="false"/>
          <w:bCs w:val="false"/>
          <w:i w:val="false"/>
          <w:iCs w:val="false"/>
          <w:color w:val="2C2C2A"/>
          <w:sz w:val="22"/>
          <w:szCs w:val="22"/>
        </w:rPr>
        <w:t xml:space="preserve">The end-2026 self-imposed exit target is unlikely to be met. The country’s realistic completion trajectory points to exit no earlier than end-2027 and possibly later. Throughout this window, the FATF Plenary cycle will continue to apply institutional pressure on the Cameroonian government for measurable, visible AML/CFT progress, and RÉCOR is the most internationally legible response available. Funders who time their support to the political peak of the grey-list cycle receive disproportionate institutional credit for the support.</w:t>
      </w:r>
    </w:p>
    <w:p>
      <w:pPr>
        <w:pStyle w:val="Heading3"/>
        <w:spacing w:after="120" w:before="240"/>
      </w:pPr>
      <w:r>
        <w:rPr>
          <w:rFonts w:ascii="Arial" w:cs="Arial" w:eastAsia="Arial" w:hAnsi="Arial"/>
          <w:b/>
          <w:bCs/>
          <w:color w:val="1A1A1A"/>
          <w:sz w:val="24"/>
          <w:szCs w:val="24"/>
        </w:rPr>
        <w:t xml:space="preserve">Window two — the AMLA operationalisation cycle</w:t>
      </w:r>
    </w:p>
    <w:p>
      <w:pPr>
        <w:spacing w:after="140" w:line="320"/>
        <w:jc w:val="both"/>
      </w:pPr>
      <w:r>
        <w:rPr>
          <w:rFonts w:ascii="Arial" w:cs="Arial" w:eastAsia="Arial" w:hAnsi="Arial"/>
          <w:b w:val="false"/>
          <w:bCs w:val="false"/>
          <w:i w:val="false"/>
          <w:iCs w:val="false"/>
          <w:color w:val="2C2C2A"/>
          <w:sz w:val="22"/>
          <w:szCs w:val="22"/>
        </w:rPr>
        <w:t xml:space="preserve">The EU Anti-Money-Laundering Authority is establishing its operational counterparty framework through 2026 and 2027. Jurisdictions that present credible sovereign beneficial ownership infrastructure during this window receive substantially preferential treatment in the subsequent risk-based engagement regime that AMLA will implement. Late arrivals will operate under a more conservative default for an indefinite period. The window for shaping AMLA’s default treatment of Cameroon is now.</w:t>
      </w:r>
    </w:p>
    <w:p>
      <w:pPr>
        <w:pStyle w:val="Heading3"/>
        <w:spacing w:after="120" w:before="240"/>
      </w:pPr>
      <w:r>
        <w:rPr>
          <w:rFonts w:ascii="Arial" w:cs="Arial" w:eastAsia="Arial" w:hAnsi="Arial"/>
          <w:b/>
          <w:bCs/>
          <w:color w:val="1A1A1A"/>
          <w:sz w:val="24"/>
          <w:szCs w:val="24"/>
        </w:rPr>
        <w:t xml:space="preserve">Window three — the IDA-21 cycle</w:t>
      </w:r>
    </w:p>
    <w:p>
      <w:pPr>
        <w:spacing w:after="140" w:line="320"/>
        <w:jc w:val="both"/>
      </w:pPr>
      <w:r>
        <w:rPr>
          <w:rFonts w:ascii="Arial" w:cs="Arial" w:eastAsia="Arial" w:hAnsi="Arial"/>
          <w:b w:val="false"/>
          <w:bCs w:val="false"/>
          <w:i w:val="false"/>
          <w:iCs w:val="false"/>
          <w:color w:val="2C2C2A"/>
          <w:sz w:val="22"/>
          <w:szCs w:val="22"/>
        </w:rPr>
        <w:t xml:space="preserve">World Bank operations in Cameroon under the IDA-21 replenishment cycle are constrained by fiduciary risk assessment. Demonstrable beneficial ownership infrastructure changes the risk profile of the entire active portfolio. The Bank’s ability to expand engagement in Cameroon during the IDA-21 cycle is materially conditioned on visible governance progress, and RÉCOR is precisely such progress.</w:t>
      </w:r>
    </w:p>
    <w:p>
      <w:pPr>
        <w:pStyle w:val="Heading2"/>
        <w:spacing w:after="160" w:before="320"/>
      </w:pPr>
      <w:r>
        <w:rPr>
          <w:rFonts w:ascii="Arial" w:cs="Arial" w:eastAsia="Arial" w:hAnsi="Arial"/>
          <w:b/>
          <w:bCs/>
          <w:color w:val="1A1A1A"/>
          <w:sz w:val="28"/>
          <w:szCs w:val="28"/>
        </w:rPr>
        <w:t xml:space="preserve">Multi-stakeholder funder convergence</w:t>
      </w:r>
    </w:p>
    <w:p>
      <w:pPr>
        <w:spacing w:after="140" w:line="320"/>
        <w:jc w:val="both"/>
      </w:pPr>
      <w:r>
        <w:rPr>
          <w:rFonts w:ascii="Arial" w:cs="Arial" w:eastAsia="Arial" w:hAnsi="Arial"/>
          <w:b w:val="false"/>
          <w:bCs w:val="false"/>
          <w:i w:val="false"/>
          <w:iCs w:val="false"/>
          <w:color w:val="2C2C2A"/>
          <w:sz w:val="22"/>
          <w:szCs w:val="22"/>
        </w:rPr>
        <w:t xml:space="preserve">The structural property that makes this project fundable through pooled rather than single-funder financing is the simultaneous and independent alignment of six distinct international and bilateral mandates. The alignment is not contrived; each funder satisfies its own institutional priority through investment in the same platform, with no funder asked to compromise.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Funder</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Mandate alignment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World Bank Group</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Integrity Vice Presidency fiduciary risk reduction in active IDA operations; StAR Initiative operational alignment for stolen-asset recovery; CPF alignment for governance reform; IDA-21 portfolio risk reduction.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Monetary Fund</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Article IV AML/CFT governance benchmarks; ECF programme conditionality; AFRITAC Central technical assistance alignment; domestic revenue mobilisation through transfer-pricing detection.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European Union</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Sixth Anti-Money-Laundering Directive counterparty verification requirements; AMLA operational counterparty framework; de-risking pressure relief for Cameroonian banks; Cameroon Multi-Annual Indicative Programme governance axis.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UNODC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goAML platform enrichment for ANIF; StAR Initiative joint operational alignment; technical assistance to financial intelligence units in developing countries.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GIZ</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Good Financial Governance flagship engagement; alignment with the German Africa Strategy on governance and rule of law.</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FATF and GABAC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unblocking of Cameroon’s four remaining grey-list action items; regional AML/CFT capacity precedent for CEMAC.</w:t>
            </w:r>
          </w:p>
        </w:tc>
      </w:tr>
    </w:tbl>
    <w:p>
      <w:pPr>
        <w:pStyle w:val="Heading1"/>
        <w:pageBreakBefore/>
        <w:spacing w:after="240" w:before="480"/>
      </w:pPr>
      <w:r>
        <w:rPr>
          <w:rFonts w:ascii="Arial" w:cs="Arial" w:eastAsia="Arial" w:hAnsi="Arial"/>
          <w:b/>
          <w:bCs/>
          <w:color w:val="1A1A1A"/>
          <w:sz w:val="36"/>
          <w:szCs w:val="36"/>
        </w:rPr>
        <w:t xml:space="preserve">Problem Statement</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In Cameroon, the natural person who actually controls a company registered in the country cannot be identified at scale. Ownership records typically name corporate shareholders rather than natural persons; those corporate shareholders are themselves owned by other entities, frequently offshore; the beneficial owner at the end of the chain is, in a non-trivial fraction of cases, deliberately concealed. This single structural failure produces direct and measurable cost across procurement, taxation, financial supervision, anti-corruption enforcement, and the international financial standing of the country.</w:t>
      </w:r>
    </w:p>
    <w:p>
      <w:pPr>
        <w:pStyle w:val="Heading2"/>
        <w:spacing w:after="160" w:before="320"/>
      </w:pPr>
      <w:r>
        <w:rPr>
          <w:rFonts w:ascii="Arial" w:cs="Arial" w:eastAsia="Arial" w:hAnsi="Arial"/>
          <w:b/>
          <w:bCs/>
          <w:color w:val="1A1A1A"/>
          <w:sz w:val="28"/>
          <w:szCs w:val="28"/>
        </w:rPr>
        <w:t xml:space="preserve">The structural failure</w:t>
      </w:r>
    </w:p>
    <w:p>
      <w:pPr>
        <w:spacing w:after="140" w:line="320"/>
        <w:jc w:val="both"/>
      </w:pPr>
      <w:r>
        <w:rPr>
          <w:rFonts w:ascii="Arial" w:cs="Arial" w:eastAsia="Arial" w:hAnsi="Arial"/>
          <w:b w:val="false"/>
          <w:bCs w:val="false"/>
          <w:i w:val="false"/>
          <w:iCs w:val="false"/>
          <w:color w:val="2C2C2A"/>
          <w:sz w:val="22"/>
          <w:szCs w:val="22"/>
        </w:rPr>
        <w:t xml:space="preserve">Cameroonian commercial law, like the broader OHADA Uniform Act framework on which it is based, requires registration of legal entities with the Centre de Formalités de Création des Entreprises (CFCE). The registration captures the entity’s name, registered address, legal form, declared business activity, and shareholders — but the shareholders captured are the legal-form shareholders, which may themselves be legal entities. There is no requirement, today, that the natural person who ultimately controls the entity be identified, verified, and recorded. The 2022 amendments to the AML/CFT law introduced a requirement of beneficial ownership disclosure for certain entity classes, but the operational mechanism for that disclosure remains incomplete: declarations are accepted as filed, verification is by exception rather than by default, and the data is not queryable in real time by the institutions that need it.</w:t>
      </w:r>
    </w:p>
    <w:p>
      <w:pPr>
        <w:spacing w:after="140" w:line="320"/>
        <w:jc w:val="both"/>
      </w:pPr>
      <w:r>
        <w:rPr>
          <w:rFonts w:ascii="Arial" w:cs="Arial" w:eastAsia="Arial" w:hAnsi="Arial"/>
          <w:b w:val="false"/>
          <w:bCs w:val="false"/>
          <w:i w:val="false"/>
          <w:iCs w:val="false"/>
          <w:color w:val="2C2C2A"/>
          <w:sz w:val="22"/>
          <w:szCs w:val="22"/>
        </w:rPr>
        <w:t xml:space="preserve">The result is that institutions whose mandate depends on identifying the natural person who ultimately controls an entity — procurement officers, customs agents, financial intelligence analysts, tax auditors, anti-corruption investigators, bank KYC officers — cannot do their job at the level their mandate requires. Each institution has either developed bespoke workarounds (manual investigation, paper-based document collection, reliance on customer self-attestation) or has accepted the impossibility of the task and operates with the knowledge that its outputs are below what would be possible with verified beneficial ownership data.</w:t>
      </w:r>
    </w:p>
    <w:p>
      <w:pPr>
        <w:pStyle w:val="Heading2"/>
        <w:spacing w:after="160" w:before="320"/>
      </w:pPr>
      <w:r>
        <w:rPr>
          <w:rFonts w:ascii="Arial" w:cs="Arial" w:eastAsia="Arial" w:hAnsi="Arial"/>
          <w:b/>
          <w:bCs/>
          <w:color w:val="1A1A1A"/>
          <w:sz w:val="28"/>
          <w:szCs w:val="28"/>
        </w:rPr>
        <w:t xml:space="preserve">Concrete failure modes</w:t>
      </w:r>
    </w:p>
    <w:p>
      <w:pPr>
        <w:spacing w:after="140" w:line="320"/>
        <w:jc w:val="both"/>
      </w:pPr>
      <w:r>
        <w:rPr>
          <w:rFonts w:ascii="Arial" w:cs="Arial" w:eastAsia="Arial" w:hAnsi="Arial"/>
          <w:b w:val="false"/>
          <w:bCs w:val="false"/>
          <w:i w:val="false"/>
          <w:iCs w:val="false"/>
          <w:color w:val="2C2C2A"/>
          <w:sz w:val="22"/>
          <w:szCs w:val="22"/>
        </w:rPr>
        <w:t xml:space="preserve">The structural failure manifests in five concrete operational failure modes, each documented across multiple Cameroonian and international assessments.</w:t>
      </w:r>
    </w:p>
    <w:p>
      <w:pPr>
        <w:pStyle w:val="Heading3"/>
        <w:spacing w:after="120" w:before="240"/>
      </w:pPr>
      <w:r>
        <w:rPr>
          <w:rFonts w:ascii="Arial" w:cs="Arial" w:eastAsia="Arial" w:hAnsi="Arial"/>
          <w:b/>
          <w:bCs/>
          <w:color w:val="1A1A1A"/>
          <w:sz w:val="24"/>
          <w:szCs w:val="24"/>
        </w:rPr>
        <w:t xml:space="preserve">Procurement corruption through undeclared conflicts of interest</w:t>
      </w:r>
    </w:p>
    <w:p>
      <w:pPr>
        <w:spacing w:after="140" w:line="320"/>
        <w:jc w:val="both"/>
      </w:pPr>
      <w:r>
        <w:rPr>
          <w:rFonts w:ascii="Arial" w:cs="Arial" w:eastAsia="Arial" w:hAnsi="Arial"/>
          <w:b w:val="false"/>
          <w:bCs w:val="false"/>
          <w:i w:val="false"/>
          <w:iCs w:val="false"/>
          <w:color w:val="2C2C2A"/>
          <w:sz w:val="22"/>
          <w:szCs w:val="22"/>
        </w:rPr>
        <w:t xml:space="preserve">Public officials and their close family members can hold beneficial interests in entities bidding on contracts whose award the official directly or indirectly influences. The official’s asset declaration to CONAC may or may not disclose the interest — enforcement is partial — but in either case the procurement officer at ARMP managing the bid evaluation cannot verify the bidder’s ultimate ownership against the awarding official’s declared and undeclared interests. The conflict is invisible until exposed years later by investigative journalism or judicial process, by which time the contract has been performed and the proceeds dispersed.</w:t>
      </w:r>
    </w:p>
    <w:p>
      <w:pPr>
        <w:pStyle w:val="Heading3"/>
        <w:spacing w:after="120" w:before="240"/>
      </w:pPr>
      <w:r>
        <w:rPr>
          <w:rFonts w:ascii="Arial" w:cs="Arial" w:eastAsia="Arial" w:hAnsi="Arial"/>
          <w:b/>
          <w:bCs/>
          <w:color w:val="1A1A1A"/>
          <w:sz w:val="24"/>
          <w:szCs w:val="24"/>
        </w:rPr>
        <w:t xml:space="preserve">Transfer pricing fraud across affiliated entities under shared ownership</w:t>
      </w:r>
    </w:p>
    <w:p>
      <w:pPr>
        <w:spacing w:after="140" w:line="320"/>
        <w:jc w:val="both"/>
      </w:pPr>
      <w:r>
        <w:rPr>
          <w:rFonts w:ascii="Arial" w:cs="Arial" w:eastAsia="Arial" w:hAnsi="Arial"/>
          <w:b w:val="false"/>
          <w:bCs w:val="false"/>
          <w:i w:val="false"/>
          <w:iCs w:val="false"/>
          <w:color w:val="2C2C2A"/>
          <w:sz w:val="22"/>
          <w:szCs w:val="22"/>
        </w:rPr>
        <w:t xml:space="preserve">Multinational entities operating in Cameroon, and increasingly domestic groups organised across multiple legal vehicles, engage in transfer-pricing arrangements that shift declared profits from the Cameroonian taxpayer to lower-tax or non-taxpaying affiliates. DGI’s ability to detect these arrangements depends on identifying that two entities trading with each other are in fact under shared beneficial ownership, which the current data infrastructure does not support at scale. IMF technical assistance assessments and DGI’s own internal analysis consistently identify this as the largest single category of large-taxpayer revenue leakage.</w:t>
      </w:r>
    </w:p>
    <w:p>
      <w:pPr>
        <w:pStyle w:val="Heading3"/>
        <w:spacing w:after="120" w:before="240"/>
      </w:pPr>
      <w:r>
        <w:rPr>
          <w:rFonts w:ascii="Arial" w:cs="Arial" w:eastAsia="Arial" w:hAnsi="Arial"/>
          <w:b/>
          <w:bCs/>
          <w:color w:val="1A1A1A"/>
          <w:sz w:val="24"/>
          <w:szCs w:val="24"/>
        </w:rPr>
        <w:t xml:space="preserve">Illicit financial flows routed through Cameroonian fronts</w:t>
      </w:r>
    </w:p>
    <w:p>
      <w:pPr>
        <w:spacing w:after="140" w:line="320"/>
        <w:jc w:val="both"/>
      </w:pPr>
      <w:r>
        <w:rPr>
          <w:rFonts w:ascii="Arial" w:cs="Arial" w:eastAsia="Arial" w:hAnsi="Arial"/>
          <w:b w:val="false"/>
          <w:bCs w:val="false"/>
          <w:i w:val="false"/>
          <w:iCs w:val="false"/>
          <w:color w:val="2C2C2A"/>
          <w:sz w:val="22"/>
          <w:szCs w:val="22"/>
        </w:rPr>
        <w:t xml:space="preserve">Cameroon’s geographic position and its financial integration with the CEMAC zone make it operationally attractive for the routing of illicit financial flows from narcotics, illegal gold extraction in the wider region, illegal timber from the Congo Basin, and sanctions evasion by foreign sanctioned individuals seeking African banking access. The flows manifest as real-estate purchases in Yaoundé and Douala, hotel and hospitality investments in Kribi, operating-business acquisitions, and large-cash retail operations — each registered to nominally Cameroonian legal entities whose ultimate beneficial ownership is unverifiable today.</w:t>
      </w:r>
    </w:p>
    <w:p>
      <w:pPr>
        <w:pStyle w:val="Heading3"/>
        <w:spacing w:after="120" w:before="240"/>
      </w:pPr>
      <w:r>
        <w:rPr>
          <w:rFonts w:ascii="Arial" w:cs="Arial" w:eastAsia="Arial" w:hAnsi="Arial"/>
          <w:b/>
          <w:bCs/>
          <w:color w:val="1A1A1A"/>
          <w:sz w:val="24"/>
          <w:szCs w:val="24"/>
        </w:rPr>
        <w:t xml:space="preserve">De-risking-driven elevated cost of correspondent banking</w:t>
      </w:r>
    </w:p>
    <w:p>
      <w:pPr>
        <w:spacing w:after="140" w:line="320"/>
        <w:jc w:val="both"/>
      </w:pPr>
      <w:r>
        <w:rPr>
          <w:rFonts w:ascii="Arial" w:cs="Arial" w:eastAsia="Arial" w:hAnsi="Arial"/>
          <w:b w:val="false"/>
          <w:bCs w:val="false"/>
          <w:i w:val="false"/>
          <w:iCs w:val="false"/>
          <w:color w:val="2C2C2A"/>
          <w:sz w:val="22"/>
          <w:szCs w:val="22"/>
        </w:rPr>
        <w:t xml:space="preserve">European, North American, and increasingly Gulf correspondent banks apply enhanced due diligence to all cross-border activity involving Cameroonian counterparties. The enhanced due diligence is costly to apply, and the marginal customer for the correspondent bank — a Cameroonian remittance corridor or a small commercial trade transaction — may not justify the cost. The correspondent bank’s response is to price the activity punitively or to refuse the relationship entirely, which is the de-risking phenomenon. The Cameroonian diaspora, predominantly in France, Belgium, the United States, and Canada, bears the direct cost through higher remittance fees, which in 2024 were measurably above the World Bank target ceiling. Cameroonian banks bear indirect cost through compressed correspondent banking margins and through periodic loss of relationships.</w:t>
      </w:r>
    </w:p>
    <w:p>
      <w:pPr>
        <w:pStyle w:val="Heading3"/>
        <w:spacing w:after="120" w:before="240"/>
      </w:pPr>
      <w:r>
        <w:rPr>
          <w:rFonts w:ascii="Arial" w:cs="Arial" w:eastAsia="Arial" w:hAnsi="Arial"/>
          <w:b/>
          <w:bCs/>
          <w:color w:val="1A1A1A"/>
          <w:sz w:val="24"/>
          <w:szCs w:val="24"/>
        </w:rPr>
        <w:t xml:space="preserve">Honest businesses lose tenders to invisible cartels</w:t>
      </w:r>
    </w:p>
    <w:p>
      <w:pPr>
        <w:spacing w:after="140" w:line="320"/>
        <w:jc w:val="both"/>
      </w:pPr>
      <w:r>
        <w:rPr>
          <w:rFonts w:ascii="Arial" w:cs="Arial" w:eastAsia="Arial" w:hAnsi="Arial"/>
          <w:b w:val="false"/>
          <w:bCs w:val="false"/>
          <w:i w:val="false"/>
          <w:iCs w:val="false"/>
          <w:color w:val="2C2C2A"/>
          <w:sz w:val="22"/>
          <w:szCs w:val="22"/>
        </w:rPr>
        <w:t xml:space="preserve">In sectors where public procurement is the dominant demand source — infrastructure construction, healthcare procurement, security services — honest businesses operating with declared ownership and tax compliance face systematic competitive disadvantage against entities whose beneficial ownership is concealed and whose business model rests on relationships invisible to the procurement evaluation process. Over time, the honest business either exits the sector, accepts margin compression to compete with the cartel, or chooses to participate in the concealment ecosystem. None of these outcomes serves the Cameroonian economy.</w:t>
      </w:r>
    </w:p>
    <w:p>
      <w:pPr>
        <w:pStyle w:val="Heading2"/>
        <w:spacing w:after="160" w:before="320"/>
      </w:pPr>
      <w:r>
        <w:rPr>
          <w:rFonts w:ascii="Arial" w:cs="Arial" w:eastAsia="Arial" w:hAnsi="Arial"/>
          <w:b/>
          <w:bCs/>
          <w:color w:val="1A1A1A"/>
          <w:sz w:val="28"/>
          <w:szCs w:val="28"/>
        </w:rPr>
        <w:t xml:space="preserve">Quantification of value at risk</w:t>
      </w:r>
    </w:p>
    <w:p>
      <w:pPr>
        <w:spacing w:after="140" w:line="320"/>
        <w:jc w:val="both"/>
      </w:pPr>
      <w:r>
        <w:rPr>
          <w:rFonts w:ascii="Arial" w:cs="Arial" w:eastAsia="Arial" w:hAnsi="Arial"/>
          <w:b w:val="false"/>
          <w:bCs w:val="false"/>
          <w:i w:val="false"/>
          <w:iCs w:val="false"/>
          <w:color w:val="2C2C2A"/>
          <w:sz w:val="22"/>
          <w:szCs w:val="22"/>
        </w:rPr>
        <w:t xml:space="preserve">The economic value at risk in the absence of a functional beneficial ownership registry is conservatively estimable. The estimates below are calibrated against comparable analyses by the Global Financial Integrity organisation, the African Tax Administration Forum, the IMF Article IV consultations for Cameroon, and the World Bank’s country economic memoranda.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Category</w:t>
            </w:r>
          </w:p>
        </w:tc>
        <w:tc>
          <w:tcPr>
            <w:tcW w:type="dxa" w:w="6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Estimated annual value at risk (USD)</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Procurement corruption through undeclared beneficial-ownership conflicts of interest</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150–350 million (5–8% of approximately 3 billion in annual public procurement value)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Transfer pricing fraud across affiliated entities under shared beneficial ownership</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200–450 million (1.2–2.5% of the annual taxable corporate base)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Illicit financial flows routed through Cameroonian fronts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300–800 million (Global Financial Integrity methodology applied to comparable jurisdictions)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De-risking premium on correspondent banking and remittance corridors</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80–180 million (applied to annual remittance flows of approximately 700 million plus correspondent banking volume)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 annual economic value at risk</w:t>
            </w:r>
          </w:p>
        </w:tc>
        <w:tc>
          <w:tcPr>
            <w:tcW w:type="dxa" w:w="6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730 million to 1.78 billion USD</w:t>
            </w:r>
          </w:p>
        </w:tc>
      </w:tr>
    </w:tbl>
    <w:p>
      <w:pPr>
        <w:spacing w:after="140" w:line="320"/>
        <w:jc w:val="both"/>
      </w:pPr>
      <w:r>
        <w:rPr>
          <w:rFonts w:ascii="Arial" w:cs="Arial" w:eastAsia="Arial" w:hAnsi="Arial"/>
          <w:b w:val="false"/>
          <w:bCs w:val="false"/>
          <w:i w:val="false"/>
          <w:iCs w:val="false"/>
          <w:color w:val="2C2C2A"/>
          <w:sz w:val="22"/>
          <w:szCs w:val="22"/>
        </w:rPr>
        <w:t xml:space="preserve">Against this annual value at risk, the project’s build cost of eighteen to twenty-four million United States dollars and its steady-state operating cost of six to eight million per year is an order of magnitude smaller than any of the four individual categories. Even the most conservative impact scenario — capturing twenty percent of the lower bound across categories within three years of full operationality — returns the build investment within the first year of full operation and the lifetime operating cost within the first three years. This is a project whose business case is robust to substantial downside on the impact estimate.</w:t>
      </w:r>
    </w:p>
    <w:p>
      <w:pPr>
        <w:pStyle w:val="Heading2"/>
        <w:spacing w:after="160" w:before="320"/>
      </w:pPr>
      <w:r>
        <w:rPr>
          <w:rFonts w:ascii="Arial" w:cs="Arial" w:eastAsia="Arial" w:hAnsi="Arial"/>
          <w:b/>
          <w:bCs/>
          <w:color w:val="1A1A1A"/>
          <w:sz w:val="28"/>
          <w:szCs w:val="28"/>
        </w:rPr>
        <w:t xml:space="preserve">The institutional rationale for sovereign infrastructure</w:t>
      </w:r>
    </w:p>
    <w:p>
      <w:pPr>
        <w:spacing w:after="140" w:line="320"/>
        <w:jc w:val="both"/>
      </w:pPr>
      <w:r>
        <w:rPr>
          <w:rFonts w:ascii="Arial" w:cs="Arial" w:eastAsia="Arial" w:hAnsi="Arial"/>
          <w:b w:val="false"/>
          <w:bCs w:val="false"/>
          <w:i w:val="false"/>
          <w:iCs w:val="false"/>
          <w:color w:val="2C2C2A"/>
          <w:sz w:val="22"/>
          <w:szCs w:val="22"/>
        </w:rPr>
        <w:t xml:space="preserve">A natural question at concept-note stage is whether the problem could be solved by adopting existing international infrastructure rather than building sovereign capacity. Open Ownership maintains an international beneficial ownership data hub. Several commercial providers offer beneficial-ownership databases. The answer is that these resources are complements to a sovereign registry, not substitutes for it.</w:t>
      </w:r>
    </w:p>
    <w:p>
      <w:pPr>
        <w:spacing w:after="140" w:line="320"/>
        <w:jc w:val="both"/>
      </w:pPr>
      <w:r>
        <w:rPr>
          <w:rFonts w:ascii="Arial" w:cs="Arial" w:eastAsia="Arial" w:hAnsi="Arial"/>
          <w:b w:val="false"/>
          <w:bCs w:val="false"/>
          <w:i w:val="false"/>
          <w:iCs w:val="false"/>
          <w:color w:val="2C2C2A"/>
          <w:sz w:val="22"/>
          <w:szCs w:val="22"/>
        </w:rPr>
        <w:t xml:space="preserve">First, sovereignty: a Cameroonian institution cannot defensibly base regulatory enforcement, criminal investigation, or judicial action on data held by a foreign commercial provider or a non-governmental aggregator. The chain of custody, the data-quality assurance, and the institutional accountability required for enforcement use only a sovereign-operated registry can provide.</w:t>
      </w:r>
    </w:p>
    <w:p>
      <w:pPr>
        <w:spacing w:after="140" w:line="320"/>
        <w:jc w:val="both"/>
      </w:pPr>
      <w:r>
        <w:rPr>
          <w:rFonts w:ascii="Arial" w:cs="Arial" w:eastAsia="Arial" w:hAnsi="Arial"/>
          <w:b w:val="false"/>
          <w:bCs w:val="false"/>
          <w:i w:val="false"/>
          <w:iCs w:val="false"/>
          <w:color w:val="2C2C2A"/>
          <w:sz w:val="22"/>
          <w:szCs w:val="22"/>
        </w:rPr>
        <w:t xml:space="preserve">Second, coverage: international data aggregators rely on the underlying national registries as their source. Without a functional Cameroonian source, the international data on Cameroonian entities is exactly as poor as the underlying national data — which is the current state.</w:t>
      </w:r>
    </w:p>
    <w:p>
      <w:pPr>
        <w:spacing w:after="140" w:line="320"/>
        <w:jc w:val="both"/>
      </w:pPr>
      <w:r>
        <w:rPr>
          <w:rFonts w:ascii="Arial" w:cs="Arial" w:eastAsia="Arial" w:hAnsi="Arial"/>
          <w:b w:val="false"/>
          <w:bCs w:val="false"/>
          <w:i w:val="false"/>
          <w:iCs w:val="false"/>
          <w:color w:val="2C2C2A"/>
          <w:sz w:val="22"/>
          <w:szCs w:val="22"/>
        </w:rPr>
        <w:t xml:space="preserve">Third, operational integration: real-time integration with ARMP, ANIF, DGI, BEAC, customs, the sectoral cadastres, and CONAC requires a registry that operates under shared institutional authority. International providers cannot deliver the synchronous webhook contracts and the cryptographically authenticated query response that operational consumers require.</w:t>
      </w:r>
    </w:p>
    <w:p>
      <w:pPr>
        <w:spacing w:after="140" w:line="320"/>
        <w:jc w:val="both"/>
      </w:pPr>
      <w:r>
        <w:rPr>
          <w:rFonts w:ascii="Arial" w:cs="Arial" w:eastAsia="Arial" w:hAnsi="Arial"/>
          <w:b w:val="false"/>
          <w:bCs w:val="false"/>
          <w:i w:val="false"/>
          <w:iCs w:val="false"/>
          <w:color w:val="2C2C2A"/>
          <w:sz w:val="22"/>
          <w:szCs w:val="22"/>
        </w:rPr>
        <w:t xml:space="preserve">RÉCOR is therefore necessarily sovereign. The architecture explicitly provides for international interoperability through the Beneficial Ownership Data Standard (BODS) export consumed by Open Ownership and through cooperative channels with INTERPOL and the World Bank StAR network, but the system of record sits in Cameroonian institutional authority.</w:t>
      </w:r>
    </w:p>
    <w:p>
      <w:pPr>
        <w:pStyle w:val="Heading1"/>
        <w:pageBreakBefore/>
        <w:spacing w:after="240" w:before="480"/>
      </w:pPr>
      <w:r>
        <w:rPr>
          <w:rFonts w:ascii="Arial" w:cs="Arial" w:eastAsia="Arial" w:hAnsi="Arial"/>
          <w:b/>
          <w:bCs/>
          <w:color w:val="1A1A1A"/>
          <w:sz w:val="36"/>
          <w:szCs w:val="36"/>
        </w:rPr>
        <w:t xml:space="preserve">Project Objective and Outcomes</w:t>
      </w:r>
    </w:p>
    <w:p>
      <w:pPr>
        <w:pStyle w:val="Heading2"/>
        <w:spacing w:after="160" w:before="320"/>
      </w:pPr>
      <w:r>
        <w:rPr>
          <w:rFonts w:ascii="Arial" w:cs="Arial" w:eastAsia="Arial" w:hAnsi="Arial"/>
          <w:b/>
          <w:bCs/>
          <w:color w:val="1A1A1A"/>
          <w:sz w:val="28"/>
          <w:szCs w:val="28"/>
        </w:rPr>
        <w:t xml:space="preserve">Project development objective</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To establish a sovereign, operational, and politically resilient national beneficial ownership registry that enables Cameroon’s institutions to identify the natural persons who ultimately control legal entities operating in the country, to verify those identifications against adversarial concealment, and to serve verified beneficial ownership data into the core workflows of procurement, taxation, financial intelligence, banking supervision, customs, anti-corruption, and international cooperation.</w:t>
      </w:r>
    </w:p>
    <w:p>
      <w:pPr>
        <w:spacing w:after="140" w:line="320"/>
        <w:jc w:val="both"/>
      </w:pPr>
      <w:r>
        <w:rPr>
          <w:rFonts w:ascii="Arial" w:cs="Arial" w:eastAsia="Arial" w:hAnsi="Arial"/>
          <w:b w:val="false"/>
          <w:bCs w:val="false"/>
          <w:i w:val="false"/>
          <w:iCs w:val="false"/>
          <w:color w:val="2C2C2A"/>
          <w:sz w:val="22"/>
          <w:szCs w:val="22"/>
        </w:rPr>
        <w:t xml:space="preserve">The project development objective is composed of three operative commitments. First, that the registry will be sovereign — operated under Cameroonian institutional authority with cryptographic root of trust on Cameroonian soil and with sovereignty-independent anchoring against political turnover. Second, that the registry will be operational — producing real-time verified data into the workflows of named institutional consumers, not merely existing as a database. Third, that the registry will be politically resilient — engineered to survive political transition, attempted capture by single factions, and the first politically inconvenient public match without losing institutional credibility.</w:t>
      </w:r>
    </w:p>
    <w:p>
      <w:pPr>
        <w:pStyle w:val="Heading2"/>
        <w:spacing w:after="160" w:before="320"/>
      </w:pPr>
      <w:r>
        <w:rPr>
          <w:rFonts w:ascii="Arial" w:cs="Arial" w:eastAsia="Arial" w:hAnsi="Arial"/>
          <w:b/>
          <w:bCs/>
          <w:color w:val="1A1A1A"/>
          <w:sz w:val="28"/>
          <w:szCs w:val="28"/>
        </w:rPr>
        <w:t xml:space="preserve">Project outcomes</w:t>
      </w:r>
    </w:p>
    <w:p>
      <w:pPr>
        <w:spacing w:after="140" w:line="320"/>
        <w:jc w:val="both"/>
      </w:pPr>
      <w:r>
        <w:rPr>
          <w:rFonts w:ascii="Arial" w:cs="Arial" w:eastAsia="Arial" w:hAnsi="Arial"/>
          <w:b w:val="false"/>
          <w:bCs w:val="false"/>
          <w:i w:val="false"/>
          <w:iCs w:val="false"/>
          <w:color w:val="2C2C2A"/>
          <w:sz w:val="22"/>
          <w:szCs w:val="22"/>
        </w:rPr>
        <w:t xml:space="preserve">Five outcomes operationalise the project development objective. Each outcome is supported by specific indicators with quantitative or auditable qualitative targets, documented in the results framework chapter of this concept note.</w:t>
      </w:r>
    </w:p>
    <w:p>
      <w:pPr>
        <w:pStyle w:val="Heading3"/>
        <w:spacing w:after="120" w:before="240"/>
      </w:pPr>
      <w:r>
        <w:rPr>
          <w:rFonts w:ascii="Arial" w:cs="Arial" w:eastAsia="Arial" w:hAnsi="Arial"/>
          <w:b/>
          <w:bCs/>
          <w:color w:val="1A1A1A"/>
          <w:sz w:val="24"/>
          <w:szCs w:val="24"/>
        </w:rPr>
        <w:t xml:space="preserve">Outcome 1 — Mandatory and verified beneficial ownership disclosure</w:t>
      </w:r>
    </w:p>
    <w:p>
      <w:pPr>
        <w:spacing w:after="140" w:line="320"/>
        <w:jc w:val="both"/>
      </w:pPr>
      <w:r>
        <w:rPr>
          <w:rFonts w:ascii="Arial" w:cs="Arial" w:eastAsia="Arial" w:hAnsi="Arial"/>
          <w:b w:val="false"/>
          <w:bCs w:val="false"/>
          <w:i w:val="false"/>
          <w:iCs w:val="false"/>
          <w:color w:val="2C2C2A"/>
          <w:sz w:val="22"/>
          <w:szCs w:val="22"/>
        </w:rPr>
        <w:t xml:space="preserve">Every legal entity registered or operating commercially in Cameroon discloses its ultimate beneficial owner or owners through a structured, verified declaration filed at incorporation, at annual renewal, and within thirty days of any material change of control. Non-declaration produces concrete operational consequence: no tax identification number, no bank account opening, no procurement tender participation, no customs clearance, no concession renewal. The platform supports the OHADA Uniform Act legal forms and equivalent Cameroonian forms, with phased mandatory rollout sequenced against legal framework progression.</w:t>
      </w:r>
    </w:p>
    <w:p>
      <w:pPr>
        <w:pStyle w:val="Heading3"/>
        <w:spacing w:after="120" w:before="240"/>
      </w:pPr>
      <w:r>
        <w:rPr>
          <w:rFonts w:ascii="Arial" w:cs="Arial" w:eastAsia="Arial" w:hAnsi="Arial"/>
          <w:b/>
          <w:bCs/>
          <w:color w:val="1A1A1A"/>
          <w:sz w:val="24"/>
          <w:szCs w:val="24"/>
        </w:rPr>
        <w:t xml:space="preserve">Outcome 2 — Sovereign verification capacity that detects adversarial concealment</w:t>
      </w:r>
    </w:p>
    <w:p>
      <w:pPr>
        <w:spacing w:after="140" w:line="320"/>
        <w:jc w:val="both"/>
      </w:pPr>
      <w:r>
        <w:rPr>
          <w:rFonts w:ascii="Arial" w:cs="Arial" w:eastAsia="Arial" w:hAnsi="Arial"/>
          <w:b w:val="false"/>
          <w:bCs w:val="false"/>
          <w:i w:val="false"/>
          <w:iCs w:val="false"/>
          <w:color w:val="2C2C2A"/>
          <w:sz w:val="22"/>
          <w:szCs w:val="22"/>
        </w:rPr>
        <w:t xml:space="preserve">Every declaration is processed through a nine-stage verification pipeline that authenticates declared identities against national systems, screens against international sanctions and politically-exposed-persons lists, applies adverse-media and leaked-data screening over multilingual corpora, and runs pattern detection across eight signature classes including the front-detection logic that catches the dominant failure mode in beneficial ownership systems internationally. The verification engine’s artificial intelligence reasoning capability is Anthropic-primary, with approximately ninety percent of inference workload routing to Claude Opus 4.7 and the residual routing to sovereign on-premises infrastructure for the cases where raw personally identifiable information must remain on Cameroonian soil.</w:t>
      </w:r>
    </w:p>
    <w:p>
      <w:pPr>
        <w:pStyle w:val="Heading3"/>
        <w:spacing w:after="120" w:before="240"/>
      </w:pPr>
      <w:r>
        <w:rPr>
          <w:rFonts w:ascii="Arial" w:cs="Arial" w:eastAsia="Arial" w:hAnsi="Arial"/>
          <w:b/>
          <w:bCs/>
          <w:color w:val="1A1A1A"/>
          <w:sz w:val="24"/>
          <w:szCs w:val="24"/>
        </w:rPr>
        <w:t xml:space="preserve">Outcome 3 — Eight institutional consumers integrate beneficial ownership into core workflows</w:t>
      </w:r>
    </w:p>
    <w:p>
      <w:pPr>
        <w:spacing w:after="140" w:line="320"/>
        <w:jc w:val="both"/>
      </w:pPr>
      <w:r>
        <w:rPr>
          <w:rFonts w:ascii="Arial" w:cs="Arial" w:eastAsia="Arial" w:hAnsi="Arial"/>
          <w:b w:val="false"/>
          <w:bCs w:val="false"/>
          <w:i w:val="false"/>
          <w:iCs w:val="false"/>
          <w:color w:val="2C2C2A"/>
          <w:sz w:val="22"/>
          <w:szCs w:val="22"/>
        </w:rPr>
        <w:t xml:space="preserve">Verified beneficial ownership data is integrated into the core workflows of eight named institutional consumers: the public procurement regulator (ARMP) receives synchronous conflict-of-interest screening on every bid; the financial intelligence unit (ANIF) receives real-time enrichment of suspicious-transaction reports through its existing goAML platform; the tax administration (DGI) receives daily transfer-pricing risk signal and on-demand audit support; the central bank (BEAC) and the Cameroonian banking sector consume verified KYC data; customs receives sanctions screening on every declaration through ASYCUDA; the sectoral concession cadastres (MINMIDT, MINFOF, SNH) cross-reference declared ownership; the anti-corruption commission (CONAC) cross-references public-official asset declarations against beneficial ownership; international cooperation operates through INTERPOL I-24/7 and the StAR network. Each integration is contractually governed with negotiated service-level objectives and audit obligations.</w:t>
      </w:r>
    </w:p>
    <w:p>
      <w:pPr>
        <w:pStyle w:val="Heading3"/>
        <w:spacing w:after="120" w:before="240"/>
      </w:pPr>
      <w:r>
        <w:rPr>
          <w:rFonts w:ascii="Arial" w:cs="Arial" w:eastAsia="Arial" w:hAnsi="Arial"/>
          <w:b/>
          <w:bCs/>
          <w:color w:val="1A1A1A"/>
          <w:sz w:val="24"/>
          <w:szCs w:val="24"/>
        </w:rPr>
        <w:t xml:space="preserve">Outcome 4 — Statutorily-grounded public transparency with international interoperability</w:t>
      </w:r>
    </w:p>
    <w:p>
      <w:pPr>
        <w:spacing w:after="140" w:line="320"/>
        <w:jc w:val="both"/>
      </w:pPr>
      <w:r>
        <w:rPr>
          <w:rFonts w:ascii="Arial" w:cs="Arial" w:eastAsia="Arial" w:hAnsi="Arial"/>
          <w:b w:val="false"/>
          <w:bCs w:val="false"/>
          <w:i w:val="false"/>
          <w:iCs w:val="false"/>
          <w:color w:val="2C2C2A"/>
          <w:sz w:val="22"/>
          <w:szCs w:val="22"/>
        </w:rPr>
        <w:t xml:space="preserve">A public tier of the registry, statutorily grounded and not subject to administrative discretion, is openly accessible to citizens, journalists, civil society, and foreign due-diligence consumers for entities that participate in public procurement, hold extractive concessions, or own significant real estate. International interoperability is delivered through Beneficial Ownership Data Standard (BODS) v0.4 export consumed by Open Ownership and by partner jurisdictions under MLAT-style cooperation. The platform supports the Extractive Industries Transparency Initiative (EITI) requirements for ownership disclosure of extractive concession holders.</w:t>
      </w:r>
    </w:p>
    <w:p>
      <w:pPr>
        <w:pStyle w:val="Heading3"/>
        <w:spacing w:after="120" w:before="240"/>
      </w:pPr>
      <w:r>
        <w:rPr>
          <w:rFonts w:ascii="Arial" w:cs="Arial" w:eastAsia="Arial" w:hAnsi="Arial"/>
          <w:b/>
          <w:bCs/>
          <w:color w:val="1A1A1A"/>
          <w:sz w:val="24"/>
          <w:szCs w:val="24"/>
        </w:rPr>
        <w:t xml:space="preserve">Outcome 5 — Material strengthening of AML/CFT operational capacity supporting grey-list exit</w:t>
      </w:r>
    </w:p>
    <w:p>
      <w:pPr>
        <w:spacing w:after="140" w:line="320"/>
        <w:jc w:val="both"/>
      </w:pPr>
      <w:r>
        <w:rPr>
          <w:rFonts w:ascii="Arial" w:cs="Arial" w:eastAsia="Arial" w:hAnsi="Arial"/>
          <w:b w:val="false"/>
          <w:bCs w:val="false"/>
          <w:i w:val="false"/>
          <w:iCs w:val="false"/>
          <w:color w:val="2C2C2A"/>
          <w:sz w:val="22"/>
          <w:szCs w:val="22"/>
        </w:rPr>
        <w:t xml:space="preserve">The platform makes substantive operational contribution to the four remaining FATF action items on Cameroon’s programme as of the February 2026 Plenary: risk-based supervision of banks and DNFBPs is enabled by verified beneficial ownership data accessible to supervisors; financial intelligence dissemination by ANIF is enhanced by beneficial-ownership-enriched STR analysis; seizure and confiscation regimes operate against identifiable natural persons rather than against shell vehicles; targeted financial sanctions are enforceable against sanctioned individuals who would otherwise hide behind layered Cameroonian fronts. The platform’s contribution to grey-list exit is measurable and is reflected in Cameroon’s Plenary submissions to FATF and GABAC.</w:t>
      </w:r>
    </w:p>
    <w:p>
      <w:pPr>
        <w:pStyle w:val="Heading2"/>
        <w:spacing w:after="160" w:before="320"/>
      </w:pPr>
      <w:r>
        <w:rPr>
          <w:rFonts w:ascii="Arial" w:cs="Arial" w:eastAsia="Arial" w:hAnsi="Arial"/>
          <w:b/>
          <w:bCs/>
          <w:color w:val="1A1A1A"/>
          <w:sz w:val="28"/>
          <w:szCs w:val="28"/>
        </w:rPr>
        <w:t xml:space="preserve">Theory of change</w:t>
      </w:r>
    </w:p>
    <w:p>
      <w:pPr>
        <w:spacing w:after="140" w:line="320"/>
        <w:jc w:val="both"/>
      </w:pPr>
      <w:r>
        <w:rPr>
          <w:rFonts w:ascii="Arial" w:cs="Arial" w:eastAsia="Arial" w:hAnsi="Arial"/>
          <w:b w:val="false"/>
          <w:bCs w:val="false"/>
          <w:i w:val="false"/>
          <w:iCs w:val="false"/>
          <w:color w:val="2C2C2A"/>
          <w:sz w:val="22"/>
          <w:szCs w:val="22"/>
        </w:rPr>
        <w:t xml:space="preserve">The project’s theory of change links inputs to ultimate impact through an explicit causal chain. The chain is documented below; each link in the chain is testable, with the indicators in the results framework chapter providing the operational measurement of each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3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What happens</w:t>
            </w:r>
          </w:p>
        </w:tc>
        <w:tc>
          <w:tcPr>
            <w:tcW w:type="dxa" w:w="35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What changes</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Inputs</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Build investment (USD 18–24M); legal framework drafting; consortium establishment; technical infrastructure procurement</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Resources committed; consortium institutionalised; legal framework drafted</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Activities</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build across seven layers; consumer integration negotiation and implementation; pilot operation with controlled cohort; mandatory rollout sequenced over Phase 5</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operational; integrations live; declarants filing mandatory disclosures</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Outputs</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Verified beneficial ownership records for the active legal-entity universe; eight institutional consumers querying the platform in real time; public tier serving citizen and civil-society inquiries</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beneficial ownership transparency at national scale</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Outcomes (short-term, 1–2 years post-launch)</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Procurement conflicts of interest surfaced before contract signature; STR analysis materially enriched; transfer pricing audits prioritised by ownership-graph signal; sanctioned individuals identified at customs and banking entry points</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Measurable detection and prevention of specific failure modes documented in problem statement</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Intermediate outcomes (3–5 years)</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Procurement award distribution shifts toward honest competitors; revenue mobilisation increases through transfer pricing detection; correspondent banking de-risking pressure on Cameroonian banks eases; civil society and journalist scrutiny shifts political incentive structure</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Institutional behaviour change across public and private sectors</w:t>
            </w:r>
          </w:p>
        </w:tc>
      </w:tr>
      <w:tr>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Impact (5–10 years)</w:t>
            </w:r>
          </w:p>
        </w:tc>
        <w:tc>
          <w:tcPr>
            <w:tcW w:type="dxa" w:w="3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Reduction in the value at risk documented in the problem statement; durable improvement in public financial governance; sustained exit from FATF grey list and improved international financial standing; demonstrable rule-of-law strengthening</w:t>
            </w:r>
          </w:p>
        </w:tc>
        <w:tc>
          <w:tcPr>
            <w:tcW w:type="dxa" w:w="35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Macro-level governance and integrity improvement</w:t>
            </w:r>
          </w:p>
        </w:tc>
      </w:tr>
    </w:tbl>
    <w:p>
      <w:pPr>
        <w:pStyle w:val="Heading2"/>
        <w:spacing w:after="160" w:before="320"/>
      </w:pPr>
      <w:r>
        <w:rPr>
          <w:rFonts w:ascii="Arial" w:cs="Arial" w:eastAsia="Arial" w:hAnsi="Arial"/>
          <w:b/>
          <w:bCs/>
          <w:color w:val="1A1A1A"/>
          <w:sz w:val="28"/>
          <w:szCs w:val="28"/>
        </w:rPr>
        <w:t xml:space="preserve">Critical assumptions</w:t>
      </w:r>
    </w:p>
    <w:p>
      <w:pPr>
        <w:spacing w:after="140" w:line="320"/>
        <w:jc w:val="both"/>
      </w:pPr>
      <w:r>
        <w:rPr>
          <w:rFonts w:ascii="Arial" w:cs="Arial" w:eastAsia="Arial" w:hAnsi="Arial"/>
          <w:b w:val="false"/>
          <w:bCs w:val="false"/>
          <w:i w:val="false"/>
          <w:iCs w:val="false"/>
          <w:color w:val="2C2C2A"/>
          <w:sz w:val="22"/>
          <w:szCs w:val="22"/>
        </w:rPr>
        <w:t xml:space="preserve">The theory of change rests on assumptions whose failure would invalidate the causal chain. Each assumption is identified explicitly and tracked through the risk register documented in a later chapter.</w:t>
      </w:r>
    </w:p>
    <w:p>
      <w:pPr>
        <w:pStyle w:val="ListParagraph"/>
        <w:numPr>
          <w:ilvl w:val="0"/>
          <w:numId w:val="2"/>
        </w:numPr>
        <w:spacing w:after="100" w:line="300"/>
      </w:pPr>
      <w:r>
        <w:rPr>
          <w:rFonts w:ascii="Arial" w:cs="Arial" w:eastAsia="Arial" w:hAnsi="Arial"/>
          <w:b/>
          <w:bCs/>
          <w:color w:val="1A1A1A"/>
          <w:sz w:val="22"/>
          <w:szCs w:val="22"/>
        </w:rPr>
        <w:t xml:space="preserve">Legal framework progresses in parallel with technical build. </w:t>
      </w:r>
      <w:r>
        <w:rPr>
          <w:rFonts w:ascii="Arial" w:cs="Arial" w:eastAsia="Arial" w:hAnsi="Arial"/>
          <w:color w:val="2C2C2A"/>
          <w:sz w:val="22"/>
          <w:szCs w:val="22"/>
        </w:rPr>
        <w:t xml:space="preserve">The implementing legislation must reach the threshold required for mandatory declaration by Phase 5. Slippage of the legal framework would force the platform to operate in voluntary mode beyond the design assumption, with measurably reduced operational effect.</w:t>
      </w:r>
    </w:p>
    <w:p>
      <w:pPr>
        <w:pStyle w:val="ListParagraph"/>
        <w:numPr>
          <w:ilvl w:val="0"/>
          <w:numId w:val="2"/>
        </w:numPr>
        <w:spacing w:after="100" w:line="300"/>
      </w:pPr>
      <w:r>
        <w:rPr>
          <w:rFonts w:ascii="Arial" w:cs="Arial" w:eastAsia="Arial" w:hAnsi="Arial"/>
          <w:b/>
          <w:bCs/>
          <w:color w:val="1A1A1A"/>
          <w:sz w:val="22"/>
          <w:szCs w:val="22"/>
        </w:rPr>
        <w:t xml:space="preserve">Consumer institutional readiness. </w:t>
      </w:r>
      <w:r>
        <w:rPr>
          <w:rFonts w:ascii="Arial" w:cs="Arial" w:eastAsia="Arial" w:hAnsi="Arial"/>
          <w:color w:val="2C2C2A"/>
          <w:sz w:val="22"/>
          <w:szCs w:val="22"/>
        </w:rPr>
        <w:t xml:space="preserve">Each of the eight institutional consumers must complete its side of the integration on the negotiated timeline. Institutional capacity constraints at any of the eight could reduce the platform’s operational reach proportionally.</w:t>
      </w:r>
    </w:p>
    <w:p>
      <w:pPr>
        <w:pStyle w:val="ListParagraph"/>
        <w:numPr>
          <w:ilvl w:val="0"/>
          <w:numId w:val="2"/>
        </w:numPr>
        <w:spacing w:after="100" w:line="300"/>
      </w:pPr>
      <w:r>
        <w:rPr>
          <w:rFonts w:ascii="Arial" w:cs="Arial" w:eastAsia="Arial" w:hAnsi="Arial"/>
          <w:b/>
          <w:bCs/>
          <w:color w:val="1A1A1A"/>
          <w:sz w:val="22"/>
          <w:szCs w:val="22"/>
        </w:rPr>
        <w:t xml:space="preserve">Verification engine quality. </w:t>
      </w:r>
      <w:r>
        <w:rPr>
          <w:rFonts w:ascii="Arial" w:cs="Arial" w:eastAsia="Arial" w:hAnsi="Arial"/>
          <w:color w:val="2C2C2A"/>
          <w:sz w:val="22"/>
          <w:szCs w:val="22"/>
        </w:rPr>
        <w:t xml:space="preserve">The verification engine must catch the dominant failure modes at sufficient accuracy. The eight-signature pattern detection logic, the Anthropic-primary inference, and the Dempster–Shafer fusion are engineered for this; the design will be validated through pilot operation in Phase 2 before mandatory rollout.</w:t>
      </w:r>
    </w:p>
    <w:p>
      <w:pPr>
        <w:pStyle w:val="ListParagraph"/>
        <w:numPr>
          <w:ilvl w:val="0"/>
          <w:numId w:val="2"/>
        </w:numPr>
        <w:spacing w:after="100" w:line="300"/>
      </w:pPr>
      <w:r>
        <w:rPr>
          <w:rFonts w:ascii="Arial" w:cs="Arial" w:eastAsia="Arial" w:hAnsi="Arial"/>
          <w:b/>
          <w:bCs/>
          <w:color w:val="1A1A1A"/>
          <w:sz w:val="22"/>
          <w:szCs w:val="22"/>
        </w:rPr>
        <w:t xml:space="preserve">Political space holds for the public tier. </w:t>
      </w:r>
      <w:r>
        <w:rPr>
          <w:rFonts w:ascii="Arial" w:cs="Arial" w:eastAsia="Arial" w:hAnsi="Arial"/>
          <w:color w:val="2C2C2A"/>
          <w:sz w:val="22"/>
          <w:szCs w:val="22"/>
        </w:rPr>
        <w:t xml:space="preserve">The first politically inconvenient public match will arrive within weeks of public launch. The platform’s political resilience properties — statutory grounding of the public tier, non-state consortium seats, external anchoring, threshold-signed approval for takedowns — are engineered for this moment. Coordinated launch with media and civil society partners is the operational support for the engineering properties.</w:t>
      </w:r>
    </w:p>
    <w:p>
      <w:pPr>
        <w:pStyle w:val="ListParagraph"/>
        <w:numPr>
          <w:ilvl w:val="0"/>
          <w:numId w:val="2"/>
        </w:numPr>
        <w:spacing w:after="100" w:line="300"/>
      </w:pPr>
      <w:r>
        <w:rPr>
          <w:rFonts w:ascii="Arial" w:cs="Arial" w:eastAsia="Arial" w:hAnsi="Arial"/>
          <w:b/>
          <w:bCs/>
          <w:color w:val="1A1A1A"/>
          <w:sz w:val="22"/>
          <w:szCs w:val="22"/>
        </w:rPr>
        <w:t xml:space="preserve">Funder coordination holds for the build period. </w:t>
      </w:r>
      <w:r>
        <w:rPr>
          <w:rFonts w:ascii="Arial" w:cs="Arial" w:eastAsia="Arial" w:hAnsi="Arial"/>
          <w:color w:val="2C2C2A"/>
          <w:sz w:val="22"/>
          <w:szCs w:val="22"/>
        </w:rPr>
        <w:t xml:space="preserve">Pooled financing across six institutional funders requires that the funders’ mandates remain aligned through the build period. The platform’s multi-mandate satisfaction is engineered for this alignment; periodic funder coordination meetings are the operational mechanism.</w:t>
      </w:r>
    </w:p>
    <w:p>
      <w:pPr>
        <w:pStyle w:val="Heading1"/>
        <w:pageBreakBefore/>
        <w:spacing w:after="240" w:before="480"/>
      </w:pPr>
      <w:r>
        <w:rPr>
          <w:rFonts w:ascii="Arial" w:cs="Arial" w:eastAsia="Arial" w:hAnsi="Arial"/>
          <w:b/>
          <w:bCs/>
          <w:color w:val="1A1A1A"/>
          <w:sz w:val="36"/>
          <w:szCs w:val="36"/>
        </w:rPr>
        <w:t xml:space="preserve">Project Description</w:t>
      </w:r>
    </w:p>
    <w:p>
      <w:pPr>
        <w:pStyle w:val="Heading2"/>
        <w:spacing w:after="160" w:before="320"/>
      </w:pPr>
      <w:r>
        <w:rPr>
          <w:rFonts w:ascii="Arial" w:cs="Arial" w:eastAsia="Arial" w:hAnsi="Arial"/>
          <w:b/>
          <w:bCs/>
          <w:color w:val="1A1A1A"/>
          <w:sz w:val="28"/>
          <w:szCs w:val="28"/>
        </w:rPr>
        <w:t xml:space="preserve">What RÉCOR is</w:t>
      </w:r>
    </w:p>
    <w:p>
      <w:pPr>
        <w:spacing w:after="140" w:line="320"/>
        <w:jc w:val="both"/>
      </w:pPr>
      <w:r>
        <w:rPr>
          <w:rFonts w:ascii="Arial" w:cs="Arial" w:eastAsia="Arial" w:hAnsi="Arial"/>
          <w:b w:val="false"/>
          <w:bCs w:val="false"/>
          <w:i w:val="false"/>
          <w:iCs w:val="false"/>
          <w:color w:val="2C2C2A"/>
          <w:sz w:val="22"/>
          <w:szCs w:val="22"/>
        </w:rPr>
        <w:t xml:space="preserve">RÉCOR is a sovereign-grade software platform, an institutional consortium, and a legal framework, operated together as a single integrated project. The software platform is organised in seven layers from cryptographic substrate to user-facing applications. The consortium comprises ten organisations — eight state institutions whose mandates depend on beneficial ownership, plus one civil society seat and one rotating international observer seat — that share authority over the platform and that provide the structural resilience to capture by any single faction. The legal framework, drafted and shepherded through parliamentary passage in parallel with the technical build, provides the statutory grounding without which the platform’s mandatory operation would be vulnerable to legal challenge.</w:t>
      </w:r>
    </w:p>
    <w:p>
      <w:pPr>
        <w:spacing w:after="140" w:line="320"/>
        <w:jc w:val="both"/>
      </w:pPr>
      <w:r>
        <w:rPr>
          <w:rFonts w:ascii="Arial" w:cs="Arial" w:eastAsia="Arial" w:hAnsi="Arial"/>
          <w:b w:val="false"/>
          <w:bCs w:val="false"/>
          <w:i w:val="false"/>
          <w:iCs w:val="false"/>
          <w:color w:val="2C2C2A"/>
          <w:sz w:val="22"/>
          <w:szCs w:val="22"/>
        </w:rPr>
        <w:t xml:space="preserve">The platform is engineered at sovereign standard. Cryptographic root of trust is provided by hardware security modules at two operational sites in Yaoundé and Douala, with a third air-gapped ceremonial site. The ledger layer is a ten-organisation Hyperledger Fabric consortium with channel-level data partitioning by classification and endorsement policies that require quorum across both state and non-state seats for sensitive operations. Threshold signatures protect access to encrypted-tier records; zero-knowledge proofs permit selective disclosure without compromising sovereignty; external timestamping anchors the registry’s history against a substrate that no party controls. The artificial intelligence reasoning at the heart of the verification engine is Anthropic-primary, with approximately ninety percent of inference workload routing to Anthropic’s Claude Opus 4.7.</w:t>
      </w:r>
    </w:p>
    <w:p>
      <w:pPr>
        <w:spacing w:after="140" w:line="320"/>
        <w:jc w:val="both"/>
      </w:pPr>
      <w:r>
        <w:rPr>
          <w:rFonts w:ascii="Arial" w:cs="Arial" w:eastAsia="Arial" w:hAnsi="Arial"/>
          <w:b w:val="false"/>
          <w:bCs w:val="false"/>
          <w:i w:val="false"/>
          <w:iCs w:val="false"/>
          <w:color w:val="2C2C2A"/>
          <w:sz w:val="22"/>
          <w:szCs w:val="22"/>
        </w:rPr>
        <w:t xml:space="preserve">The full technical architecture is documented in the RÉCOR Sovereign Build Specification, the companion ninety-two-page artefact that this concept note references for technical depth. The summary below identifies the project components at the level appropriate to concept-note consultation and maps them to the project outcomes.</w:t>
      </w:r>
    </w:p>
    <w:p>
      <w:pPr>
        <w:pStyle w:val="Heading2"/>
        <w:spacing w:after="160" w:before="320"/>
      </w:pPr>
      <w:r>
        <w:rPr>
          <w:rFonts w:ascii="Arial" w:cs="Arial" w:eastAsia="Arial" w:hAnsi="Arial"/>
          <w:b/>
          <w:bCs/>
          <w:color w:val="1A1A1A"/>
          <w:sz w:val="28"/>
          <w:szCs w:val="28"/>
        </w:rPr>
        <w:t xml:space="preserve">Project components</w:t>
      </w:r>
    </w:p>
    <w:p>
      <w:pPr>
        <w:spacing w:after="140" w:line="320"/>
        <w:jc w:val="both"/>
      </w:pPr>
      <w:r>
        <w:rPr>
          <w:rFonts w:ascii="Arial" w:cs="Arial" w:eastAsia="Arial" w:hAnsi="Arial"/>
          <w:b w:val="false"/>
          <w:bCs w:val="false"/>
          <w:i w:val="false"/>
          <w:iCs w:val="false"/>
          <w:color w:val="2C2C2A"/>
          <w:sz w:val="22"/>
          <w:szCs w:val="22"/>
        </w:rPr>
        <w:t xml:space="preserve">The project is structured into five components. Each component delivers specific outputs that aggregate into one or more of the project outcomes defined in the preceding chapter. The component structure is also the basis for the financing plan, with funder contributions allocated against components.</w:t>
      </w:r>
    </w:p>
    <w:p>
      <w:pPr>
        <w:pStyle w:val="Heading3"/>
        <w:spacing w:after="120" w:before="240"/>
      </w:pPr>
      <w:r>
        <w:rPr>
          <w:rFonts w:ascii="Arial" w:cs="Arial" w:eastAsia="Arial" w:hAnsi="Arial"/>
          <w:b/>
          <w:bCs/>
          <w:color w:val="1A1A1A"/>
          <w:sz w:val="24"/>
          <w:szCs w:val="24"/>
        </w:rPr>
        <w:t xml:space="preserve">Component 1 — Legal framework and institutional foundation</w:t>
      </w:r>
    </w:p>
    <w:p>
      <w:pPr>
        <w:spacing w:after="140" w:line="320"/>
        <w:jc w:val="both"/>
      </w:pPr>
      <w:r>
        <w:rPr>
          <w:rFonts w:ascii="Arial" w:cs="Arial" w:eastAsia="Arial" w:hAnsi="Arial"/>
          <w:b w:val="false"/>
          <w:bCs w:val="false"/>
          <w:i w:val="false"/>
          <w:iCs w:val="false"/>
          <w:color w:val="2C2C2A"/>
          <w:sz w:val="22"/>
          <w:szCs w:val="22"/>
        </w:rPr>
        <w:t xml:space="preserve">Component 1 establishes the legal and institutional foundation on which the operational platform rests. The component delivers: the OHADA Uniform Act transposition amendment establishing mandatory beneficial ownership disclosure at incorporation, annual renewal, and within thirty days of change of control; a dedicated penal provision criminalising materially false declarations; statutory authority for CFCE, MINFI, and DGI to assess administrative fines for non-compliance; statutory grounding for the public tier opening with narrow takedown provisions; statutory grounding for the encrypted-tier access regime with threshold-signed approval requirements; consequential amendments to AML/CFT and personal-data-protection legislation.</w:t>
      </w:r>
    </w:p>
    <w:p>
      <w:pPr>
        <w:spacing w:after="140" w:line="320"/>
        <w:jc w:val="both"/>
      </w:pPr>
      <w:r>
        <w:rPr>
          <w:rFonts w:ascii="Arial" w:cs="Arial" w:eastAsia="Arial" w:hAnsi="Arial"/>
          <w:b w:val="false"/>
          <w:bCs w:val="false"/>
          <w:i w:val="false"/>
          <w:iCs w:val="false"/>
          <w:color w:val="2C2C2A"/>
          <w:sz w:val="22"/>
          <w:szCs w:val="22"/>
        </w:rPr>
        <w:t xml:space="preserve">In parallel, Component 1 establishes the ten-organisation consortium with formal institutional commitment from each member, formal designation of the civil society seat through a structured selection process, and arrangements with Open Ownership, Transparency International, and the GABAC Secretariat for the rotating international observer seat. The component delivers signed consortium charter, signed institutional commitment from each member organisation, designated representatives, and operating governance protocols.</w:t>
      </w:r>
    </w:p>
    <w:p>
      <w:pPr>
        <w:spacing w:after="140" w:line="320"/>
        <w:jc w:val="both"/>
      </w:pPr>
      <w:r>
        <w:rPr>
          <w:rFonts w:ascii="Arial" w:cs="Arial" w:eastAsia="Arial" w:hAnsi="Arial"/>
          <w:b w:val="false"/>
          <w:bCs w:val="false"/>
          <w:i w:val="false"/>
          <w:iCs w:val="false"/>
          <w:color w:val="2C2C2A"/>
          <w:sz w:val="22"/>
          <w:szCs w:val="22"/>
        </w:rPr>
        <w:t xml:space="preserve">Component 1 contributes principally to outcomes 1 and 5, providing the legal and institutional substrate on which mandatory verified declaration and FATF-aligned operational capacity rest.</w:t>
      </w:r>
    </w:p>
    <w:p>
      <w:pPr>
        <w:pStyle w:val="Heading3"/>
        <w:spacing w:after="120" w:before="240"/>
      </w:pPr>
      <w:r>
        <w:rPr>
          <w:rFonts w:ascii="Arial" w:cs="Arial" w:eastAsia="Arial" w:hAnsi="Arial"/>
          <w:b/>
          <w:bCs/>
          <w:color w:val="1A1A1A"/>
          <w:sz w:val="24"/>
          <w:szCs w:val="24"/>
        </w:rPr>
        <w:t xml:space="preserve">Component 2 — Platform build (substrate through verification engine)</w:t>
      </w:r>
    </w:p>
    <w:p>
      <w:pPr>
        <w:spacing w:after="140" w:line="320"/>
        <w:jc w:val="both"/>
      </w:pPr>
      <w:r>
        <w:rPr>
          <w:rFonts w:ascii="Arial" w:cs="Arial" w:eastAsia="Arial" w:hAnsi="Arial"/>
          <w:b w:val="false"/>
          <w:bCs w:val="false"/>
          <w:i w:val="false"/>
          <w:iCs w:val="false"/>
          <w:color w:val="2C2C2A"/>
          <w:sz w:val="22"/>
          <w:szCs w:val="22"/>
        </w:rPr>
        <w:t xml:space="preserve">Component 2 builds the technical substrate of the platform: the cryptographic layer (hardware security modules, consortium ledger, threshold signatures, zero-knowledge proof system, external timestamping), the storage substrate (the five complementary storage technologies sized for Cameroon’s operating envelope), the domain services (twelve bounded contexts with workload identity and observability), and the nine-stage adversarial verification engine that processes every declaration.</w:t>
      </w:r>
    </w:p>
    <w:p>
      <w:pPr>
        <w:spacing w:after="140" w:line="320"/>
        <w:jc w:val="both"/>
      </w:pPr>
      <w:r>
        <w:rPr>
          <w:rFonts w:ascii="Arial" w:cs="Arial" w:eastAsia="Arial" w:hAnsi="Arial"/>
          <w:b w:val="false"/>
          <w:bCs w:val="false"/>
          <w:i w:val="false"/>
          <w:iCs w:val="false"/>
          <w:color w:val="2C2C2A"/>
          <w:sz w:val="22"/>
          <w:szCs w:val="22"/>
        </w:rPr>
        <w:t xml:space="preserve">The verification engine is the load-bearing capability and is engineered with the highest share of component investment. Its nine stages perform schema validation, identity authentication against BUNEC and immigration databases, sanctions and PEP screening with daily-refreshed feeds, adverse-media screening with multilingual corpora and ICIJ leaked-data archives, pattern detection across eight signature classes including the front-detection logic, cross-source triangulation against ARMP, DGI, real-estate, and concession records, Dempster–Shafer belief-function fusion, and lane routing into green, yellow, or red outcomes.</w:t>
      </w:r>
    </w:p>
    <w:p>
      <w:pPr>
        <w:spacing w:after="140" w:line="320"/>
        <w:jc w:val="both"/>
      </w:pPr>
      <w:r>
        <w:rPr>
          <w:rFonts w:ascii="Arial" w:cs="Arial" w:eastAsia="Arial" w:hAnsi="Arial"/>
          <w:b w:val="false"/>
          <w:bCs w:val="false"/>
          <w:i w:val="false"/>
          <w:iCs w:val="false"/>
          <w:color w:val="2C2C2A"/>
          <w:sz w:val="22"/>
          <w:szCs w:val="22"/>
        </w:rPr>
        <w:t xml:space="preserve">Component 2 contributes principally to outcomes 1 and 2, delivering the operational platform capacity for mandatory declaration and the sovereign verification capacity that detects adversarial concealment.</w:t>
      </w:r>
    </w:p>
    <w:p>
      <w:pPr>
        <w:pStyle w:val="Heading3"/>
        <w:spacing w:after="120" w:before="240"/>
      </w:pPr>
      <w:r>
        <w:rPr>
          <w:rFonts w:ascii="Arial" w:cs="Arial" w:eastAsia="Arial" w:hAnsi="Arial"/>
          <w:b/>
          <w:bCs/>
          <w:color w:val="1A1A1A"/>
          <w:sz w:val="24"/>
          <w:szCs w:val="24"/>
        </w:rPr>
        <w:t xml:space="preserve">Component 3 — Consumer integrations</w:t>
      </w:r>
    </w:p>
    <w:p>
      <w:pPr>
        <w:spacing w:after="140" w:line="320"/>
        <w:jc w:val="both"/>
      </w:pPr>
      <w:r>
        <w:rPr>
          <w:rFonts w:ascii="Arial" w:cs="Arial" w:eastAsia="Arial" w:hAnsi="Arial"/>
          <w:b w:val="false"/>
          <w:bCs w:val="false"/>
          <w:i w:val="false"/>
          <w:iCs w:val="false"/>
          <w:color w:val="2C2C2A"/>
          <w:sz w:val="22"/>
          <w:szCs w:val="22"/>
        </w:rPr>
        <w:t xml:space="preserve">Component 3 delivers the eight institutional consumer integrations under contractual governance with each consumer institution. The integrations are negotiated as formal contracts specifying service-level objectives, data-handling responsibilities, authentication mechanisms, and operational obligations on both sides. Each integration is technically implemented on the platform side by the platform integration team and on the consumer side by the consumer’s engineering team with platform support.</w:t>
      </w:r>
    </w:p>
    <w:p>
      <w:pPr>
        <w:spacing w:after="140" w:line="320"/>
        <w:jc w:val="both"/>
      </w:pPr>
      <w:r>
        <w:rPr>
          <w:rFonts w:ascii="Arial" w:cs="Arial" w:eastAsia="Arial" w:hAnsi="Arial"/>
          <w:b w:val="false"/>
          <w:bCs w:val="false"/>
          <w:i w:val="false"/>
          <w:iCs w:val="false"/>
          <w:color w:val="2C2C2A"/>
          <w:sz w:val="22"/>
          <w:szCs w:val="22"/>
        </w:rPr>
        <w:t xml:space="preserve">The integration set, with negotiated service-level commitments, comprises: ARMP synchronous webhook with two-second p99 response on bid submission and fail-closed semantics on timeout; ANIF goAML real-time enrichment feed; DGI bulk daily diff for transfer-pricing detection and on-demand audit lookup; BEAC and Cameroonian banks KYC API with sub-fifty-millisecond p99 response; customs ASYCUDA synchronous webhook with fail-closed semantics on sanctions hits; sectoral cadastre nightly reconciliation; CONAC asset-declaration cross-reference; INTERPOL I-24/7 and StAR network international cooperation interface.</w:t>
      </w:r>
    </w:p>
    <w:p>
      <w:pPr>
        <w:spacing w:after="140" w:line="320"/>
        <w:jc w:val="both"/>
      </w:pPr>
      <w:r>
        <w:rPr>
          <w:rFonts w:ascii="Arial" w:cs="Arial" w:eastAsia="Arial" w:hAnsi="Arial"/>
          <w:b w:val="false"/>
          <w:bCs w:val="false"/>
          <w:i w:val="false"/>
          <w:iCs w:val="false"/>
          <w:color w:val="2C2C2A"/>
          <w:sz w:val="22"/>
          <w:szCs w:val="22"/>
        </w:rPr>
        <w:t xml:space="preserve">Component 3 contributes principally to outcome 3 and contributes substantively to outcome 5 through the operational pathways that link the platform to the four remaining FATF action items.</w:t>
      </w:r>
    </w:p>
    <w:p>
      <w:pPr>
        <w:pStyle w:val="Heading3"/>
        <w:spacing w:after="120" w:before="240"/>
      </w:pPr>
      <w:r>
        <w:rPr>
          <w:rFonts w:ascii="Arial" w:cs="Arial" w:eastAsia="Arial" w:hAnsi="Arial"/>
          <w:b/>
          <w:bCs/>
          <w:color w:val="1A1A1A"/>
          <w:sz w:val="24"/>
          <w:szCs w:val="24"/>
        </w:rPr>
        <w:t xml:space="preserve">Component 4 — Applications, public portal, and whistleblower intake</w:t>
      </w:r>
    </w:p>
    <w:p>
      <w:pPr>
        <w:spacing w:after="140" w:line="320"/>
        <w:jc w:val="both"/>
      </w:pPr>
      <w:r>
        <w:rPr>
          <w:rFonts w:ascii="Arial" w:cs="Arial" w:eastAsia="Arial" w:hAnsi="Arial"/>
          <w:b w:val="false"/>
          <w:bCs w:val="false"/>
          <w:i w:val="false"/>
          <w:iCs w:val="false"/>
          <w:color w:val="2C2C2A"/>
          <w:sz w:val="22"/>
          <w:szCs w:val="22"/>
        </w:rPr>
        <w:t xml:space="preserve">Component 4 delivers the six role-specific user-facing applications: the Declarant Portal through which the regulated private sector files declarations; the Officer Console serving the operational consumers at procurement, customs, tax, financial intelligence, and banking; the Investigation Workbench providing deep case-management capacity for ANIF, CONAC, TCS, and judicial-police investigators; the Public Portal serving citizens, journalists, civil society, and foreign due-diligence consumers; the Whistleblower Intake operated as a Tor-accessible service with optional full anonymity; the Administrative Console for consortium governance and audit.</w:t>
      </w:r>
    </w:p>
    <w:p>
      <w:pPr>
        <w:spacing w:after="140" w:line="320"/>
        <w:jc w:val="both"/>
      </w:pPr>
      <w:r>
        <w:rPr>
          <w:rFonts w:ascii="Arial" w:cs="Arial" w:eastAsia="Arial" w:hAnsi="Arial"/>
          <w:b w:val="false"/>
          <w:bCs w:val="false"/>
          <w:i w:val="false"/>
          <w:iCs w:val="false"/>
          <w:color w:val="2C2C2A"/>
          <w:sz w:val="22"/>
          <w:szCs w:val="22"/>
        </w:rPr>
        <w:t xml:space="preserve">The Public Portal is the surface through which the platform earns or loses public legitimacy. Its operation is statutorily grounded, technically engineered for the political resilience properties of the platform, and launched in coordination with media and civil society partners. The first politically inconvenient public match is anticipated within weeks of launch; the consortium’s communications strategy for that moment is developed during Component 4 in parallel with the technical build.</w:t>
      </w:r>
    </w:p>
    <w:p>
      <w:pPr>
        <w:spacing w:after="140" w:line="320"/>
        <w:jc w:val="both"/>
      </w:pPr>
      <w:r>
        <w:rPr>
          <w:rFonts w:ascii="Arial" w:cs="Arial" w:eastAsia="Arial" w:hAnsi="Arial"/>
          <w:b w:val="false"/>
          <w:bCs w:val="false"/>
          <w:i w:val="false"/>
          <w:iCs w:val="false"/>
          <w:color w:val="2C2C2A"/>
          <w:sz w:val="22"/>
          <w:szCs w:val="22"/>
        </w:rPr>
        <w:t xml:space="preserve">Component 4 contributes principally to outcome 4 and contributes substantively to outcomes 1 (through the Declarant Portal) and 5 (through the analytic capacity of the Investigation Workbench).</w:t>
      </w:r>
    </w:p>
    <w:p>
      <w:pPr>
        <w:pStyle w:val="Heading3"/>
        <w:spacing w:after="120" w:before="240"/>
      </w:pPr>
      <w:r>
        <w:rPr>
          <w:rFonts w:ascii="Arial" w:cs="Arial" w:eastAsia="Arial" w:hAnsi="Arial"/>
          <w:b/>
          <w:bCs/>
          <w:color w:val="1A1A1A"/>
          <w:sz w:val="24"/>
          <w:szCs w:val="24"/>
        </w:rPr>
        <w:t xml:space="preserve">Component 5 — Change management, capacity building, and launch</w:t>
      </w:r>
    </w:p>
    <w:p>
      <w:pPr>
        <w:spacing w:after="140" w:line="320"/>
        <w:jc w:val="both"/>
      </w:pPr>
      <w:r>
        <w:rPr>
          <w:rFonts w:ascii="Arial" w:cs="Arial" w:eastAsia="Arial" w:hAnsi="Arial"/>
          <w:b w:val="false"/>
          <w:bCs w:val="false"/>
          <w:i w:val="false"/>
          <w:iCs w:val="false"/>
          <w:color w:val="2C2C2A"/>
          <w:sz w:val="22"/>
          <w:szCs w:val="22"/>
        </w:rPr>
        <w:t xml:space="preserve">Component 5 delivers the human and organisational transition that the technical platform cannot deliver on its own. Activities include: structured training programmes for officials at each of the eight consumer institutions, including the specialist verification analyst team; capacity building for the regulated private sector through chambers of commerce, professional associations, and direct outreach; engagement with civil society and the press to build public legitimacy ahead of and through launch; specific media engagement strategy for the public tier launch; ongoing communications throughout the build to maintain political support and public awareness; formal launch event coordinated across consortium members and funders.</w:t>
      </w:r>
    </w:p>
    <w:p>
      <w:pPr>
        <w:spacing w:after="140" w:line="320"/>
        <w:jc w:val="both"/>
      </w:pPr>
      <w:r>
        <w:rPr>
          <w:rFonts w:ascii="Arial" w:cs="Arial" w:eastAsia="Arial" w:hAnsi="Arial"/>
          <w:b w:val="false"/>
          <w:bCs w:val="false"/>
          <w:i w:val="false"/>
          <w:iCs w:val="false"/>
          <w:color w:val="2C2C2A"/>
          <w:sz w:val="22"/>
          <w:szCs w:val="22"/>
        </w:rPr>
        <w:t xml:space="preserve">Component 5 also delivers the platform’s operational handover from the build team to the steady-state operations team, with documented run-books, rehearsed disaster recovery procedures, and the establishment of the consortium’s steady-state operating model.</w:t>
      </w:r>
    </w:p>
    <w:p>
      <w:pPr>
        <w:spacing w:after="140" w:line="320"/>
        <w:jc w:val="both"/>
      </w:pPr>
      <w:r>
        <w:rPr>
          <w:rFonts w:ascii="Arial" w:cs="Arial" w:eastAsia="Arial" w:hAnsi="Arial"/>
          <w:b w:val="false"/>
          <w:bCs w:val="false"/>
          <w:i w:val="false"/>
          <w:iCs w:val="false"/>
          <w:color w:val="2C2C2A"/>
          <w:sz w:val="22"/>
          <w:szCs w:val="22"/>
        </w:rPr>
        <w:t xml:space="preserve">Component 5 contributes to every outcome by ensuring that the technical platform translates into institutional behaviour change rather than into shelved infrastructure.</w:t>
      </w:r>
    </w:p>
    <w:p>
      <w:pPr>
        <w:pStyle w:val="Heading2"/>
        <w:spacing w:after="160" w:before="320"/>
      </w:pPr>
      <w:r>
        <w:rPr>
          <w:rFonts w:ascii="Arial" w:cs="Arial" w:eastAsia="Arial" w:hAnsi="Arial"/>
          <w:b/>
          <w:bCs/>
          <w:color w:val="1A1A1A"/>
          <w:sz w:val="28"/>
          <w:szCs w:val="28"/>
        </w:rPr>
        <w:t xml:space="preserve">Component-to-outcome mapping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Component</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 1</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 2</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 3</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 4</w:t>
            </w:r>
          </w:p>
        </w:tc>
        <w:tc>
          <w:tcPr>
            <w:tcW w:type="dxa" w:w="12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Outcome 5</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 Legal and institutional foundation</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 — Platform substrate and verification engine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 — Consumer integrations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 — Applications and public portal</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Primary</w:t>
            </w:r>
          </w:p>
        </w:tc>
        <w:tc>
          <w:tcPr>
            <w:tcW w:type="dxa" w:w="1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 — Change management and launch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c>
          <w:tcPr>
            <w:tcW w:type="dxa" w:w="12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Supporting</w:t>
            </w:r>
          </w:p>
        </w:tc>
      </w:tr>
    </w:tbl>
    <w:p>
      <w:pPr>
        <w:pStyle w:val="Heading1"/>
        <w:pageBreakBefore/>
        <w:spacing w:after="240" w:before="480"/>
      </w:pPr>
      <w:r>
        <w:rPr>
          <w:rFonts w:ascii="Arial" w:cs="Arial" w:eastAsia="Arial" w:hAnsi="Arial"/>
          <w:b/>
          <w:bCs/>
          <w:color w:val="1A1A1A"/>
          <w:sz w:val="36"/>
          <w:szCs w:val="36"/>
        </w:rPr>
        <w:t xml:space="preserve">Stakeholders and Beneficiaries</w:t>
      </w:r>
    </w:p>
    <w:p>
      <w:pPr>
        <w:pStyle w:val="Heading2"/>
        <w:spacing w:after="160" w:before="320"/>
      </w:pPr>
      <w:r>
        <w:rPr>
          <w:rFonts w:ascii="Arial" w:cs="Arial" w:eastAsia="Arial" w:hAnsi="Arial"/>
          <w:b/>
          <w:bCs/>
          <w:color w:val="1A1A1A"/>
          <w:sz w:val="28"/>
          <w:szCs w:val="28"/>
        </w:rPr>
        <w:t xml:space="preserve">Direct beneficiaries</w:t>
      </w:r>
    </w:p>
    <w:p>
      <w:pPr>
        <w:spacing w:after="140" w:line="320"/>
        <w:jc w:val="both"/>
      </w:pPr>
      <w:r>
        <w:rPr>
          <w:rFonts w:ascii="Arial" w:cs="Arial" w:eastAsia="Arial" w:hAnsi="Arial"/>
          <w:b w:val="false"/>
          <w:bCs w:val="false"/>
          <w:i w:val="false"/>
          <w:iCs w:val="false"/>
          <w:color w:val="2C2C2A"/>
          <w:sz w:val="22"/>
          <w:szCs w:val="22"/>
        </w:rPr>
        <w:t xml:space="preserve">Direct beneficiaries are the institutions and constituencies whose operational capacity, fiscal position, or fundamental rights are immediately strengthened by the platform’s operation.</w:t>
      </w:r>
    </w:p>
    <w:p>
      <w:pPr>
        <w:pStyle w:val="ListParagraph"/>
        <w:numPr>
          <w:ilvl w:val="0"/>
          <w:numId w:val="2"/>
        </w:numPr>
        <w:spacing w:after="100" w:line="300"/>
      </w:pPr>
      <w:r>
        <w:rPr>
          <w:rFonts w:ascii="Arial" w:cs="Arial" w:eastAsia="Arial" w:hAnsi="Arial"/>
          <w:b/>
          <w:bCs/>
          <w:color w:val="1A1A1A"/>
          <w:sz w:val="22"/>
          <w:szCs w:val="22"/>
        </w:rPr>
        <w:t xml:space="preserve">Public procurement integrity. </w:t>
      </w:r>
      <w:r>
        <w:rPr>
          <w:rFonts w:ascii="Arial" w:cs="Arial" w:eastAsia="Arial" w:hAnsi="Arial"/>
          <w:color w:val="2C2C2A"/>
          <w:sz w:val="22"/>
          <w:szCs w:val="22"/>
        </w:rPr>
        <w:t xml:space="preserve">ARMP, awarding ministries and agencies, the State as fiscal authority, and honest businesses competing for public contracts. Approximately 3 billion USD in annual public procurement value is subject to the platform’s conflict-of-interest surveillance.</w:t>
      </w:r>
    </w:p>
    <w:p>
      <w:pPr>
        <w:pStyle w:val="ListParagraph"/>
        <w:numPr>
          <w:ilvl w:val="0"/>
          <w:numId w:val="2"/>
        </w:numPr>
        <w:spacing w:after="100" w:line="300"/>
      </w:pPr>
      <w:r>
        <w:rPr>
          <w:rFonts w:ascii="Arial" w:cs="Arial" w:eastAsia="Arial" w:hAnsi="Arial"/>
          <w:b/>
          <w:bCs/>
          <w:color w:val="1A1A1A"/>
          <w:sz w:val="22"/>
          <w:szCs w:val="22"/>
        </w:rPr>
        <w:t xml:space="preserve">Domestic revenue mobilisation. </w:t>
      </w:r>
      <w:r>
        <w:rPr>
          <w:rFonts w:ascii="Arial" w:cs="Arial" w:eastAsia="Arial" w:hAnsi="Arial"/>
          <w:color w:val="2C2C2A"/>
          <w:sz w:val="22"/>
          <w:szCs w:val="22"/>
        </w:rPr>
        <w:t xml:space="preserve">DGI, the Ministry of Finance, and the State as fiscal authority. The platform supports the IMF Article IV objective of raising tax-to-GDP toward the regional benchmark.</w:t>
      </w:r>
    </w:p>
    <w:p>
      <w:pPr>
        <w:pStyle w:val="ListParagraph"/>
        <w:numPr>
          <w:ilvl w:val="0"/>
          <w:numId w:val="2"/>
        </w:numPr>
        <w:spacing w:after="100" w:line="300"/>
      </w:pPr>
      <w:r>
        <w:rPr>
          <w:rFonts w:ascii="Arial" w:cs="Arial" w:eastAsia="Arial" w:hAnsi="Arial"/>
          <w:b/>
          <w:bCs/>
          <w:color w:val="1A1A1A"/>
          <w:sz w:val="22"/>
          <w:szCs w:val="22"/>
        </w:rPr>
        <w:t xml:space="preserve">Financial intelligence and AML/CFT enforcement. </w:t>
      </w:r>
      <w:r>
        <w:rPr>
          <w:rFonts w:ascii="Arial" w:cs="Arial" w:eastAsia="Arial" w:hAnsi="Arial"/>
          <w:color w:val="2C2C2A"/>
          <w:sz w:val="22"/>
          <w:szCs w:val="22"/>
        </w:rPr>
        <w:t xml:space="preserve">ANIF, the judicial authorities operating against major economic crime (TCS, prosecutors, judicial police), and ultimately the constituencies whose interests are protected by an effective AML/CFT system.</w:t>
      </w:r>
    </w:p>
    <w:p>
      <w:pPr>
        <w:pStyle w:val="ListParagraph"/>
        <w:numPr>
          <w:ilvl w:val="0"/>
          <w:numId w:val="2"/>
        </w:numPr>
        <w:spacing w:after="100" w:line="300"/>
      </w:pPr>
      <w:r>
        <w:rPr>
          <w:rFonts w:ascii="Arial" w:cs="Arial" w:eastAsia="Arial" w:hAnsi="Arial"/>
          <w:b/>
          <w:bCs/>
          <w:color w:val="1A1A1A"/>
          <w:sz w:val="22"/>
          <w:szCs w:val="22"/>
        </w:rPr>
        <w:t xml:space="preserve">Banking sector and financial system stability. </w:t>
      </w:r>
      <w:r>
        <w:rPr>
          <w:rFonts w:ascii="Arial" w:cs="Arial" w:eastAsia="Arial" w:hAnsi="Arial"/>
          <w:color w:val="2C2C2A"/>
          <w:sz w:val="22"/>
          <w:szCs w:val="22"/>
        </w:rPr>
        <w:t xml:space="preserve">BEAC as supervisor and the Cameroonian commercial banks, who consume verified KYC data and benefit from reduced de-risking pressure from European correspondent banks.</w:t>
      </w:r>
    </w:p>
    <w:p>
      <w:pPr>
        <w:pStyle w:val="ListParagraph"/>
        <w:numPr>
          <w:ilvl w:val="0"/>
          <w:numId w:val="2"/>
        </w:numPr>
        <w:spacing w:after="100" w:line="300"/>
      </w:pPr>
      <w:r>
        <w:rPr>
          <w:rFonts w:ascii="Arial" w:cs="Arial" w:eastAsia="Arial" w:hAnsi="Arial"/>
          <w:b/>
          <w:bCs/>
          <w:color w:val="1A1A1A"/>
          <w:sz w:val="22"/>
          <w:szCs w:val="22"/>
        </w:rPr>
        <w:t xml:space="preserve">Customs and trade integrity. </w:t>
      </w:r>
      <w:r>
        <w:rPr>
          <w:rFonts w:ascii="Arial" w:cs="Arial" w:eastAsia="Arial" w:hAnsi="Arial"/>
          <w:color w:val="2C2C2A"/>
          <w:sz w:val="22"/>
          <w:szCs w:val="22"/>
        </w:rPr>
        <w:t xml:space="preserve">The customs administration, which enforces sanctions and trade-control regimes at the border, and legitimate importers and exporters who benefit from operating in a system that filters out sanctioned counterparts.</w:t>
      </w:r>
    </w:p>
    <w:p>
      <w:pPr>
        <w:pStyle w:val="ListParagraph"/>
        <w:numPr>
          <w:ilvl w:val="0"/>
          <w:numId w:val="2"/>
        </w:numPr>
        <w:spacing w:after="100" w:line="300"/>
      </w:pPr>
      <w:r>
        <w:rPr>
          <w:rFonts w:ascii="Arial" w:cs="Arial" w:eastAsia="Arial" w:hAnsi="Arial"/>
          <w:b/>
          <w:bCs/>
          <w:color w:val="1A1A1A"/>
          <w:sz w:val="22"/>
          <w:szCs w:val="22"/>
        </w:rPr>
        <w:t xml:space="preserve">Anti-corruption institutions. </w:t>
      </w:r>
      <w:r>
        <w:rPr>
          <w:rFonts w:ascii="Arial" w:cs="Arial" w:eastAsia="Arial" w:hAnsi="Arial"/>
          <w:color w:val="2C2C2A"/>
          <w:sz w:val="22"/>
          <w:szCs w:val="22"/>
        </w:rPr>
        <w:t xml:space="preserve">CONAC, which gains the cross-referencing capacity between asset declarations and beneficial ownership that materially enhances its operational reach.</w:t>
      </w:r>
    </w:p>
    <w:p>
      <w:pPr>
        <w:pStyle w:val="ListParagraph"/>
        <w:numPr>
          <w:ilvl w:val="0"/>
          <w:numId w:val="2"/>
        </w:numPr>
        <w:spacing w:after="100" w:line="300"/>
      </w:pPr>
      <w:r>
        <w:rPr>
          <w:rFonts w:ascii="Arial" w:cs="Arial" w:eastAsia="Arial" w:hAnsi="Arial"/>
          <w:b/>
          <w:bCs/>
          <w:color w:val="1A1A1A"/>
          <w:sz w:val="22"/>
          <w:szCs w:val="22"/>
        </w:rPr>
        <w:t xml:space="preserve">Cameroonian diaspora and remittance recipients. </w:t>
      </w:r>
      <w:r>
        <w:rPr>
          <w:rFonts w:ascii="Arial" w:cs="Arial" w:eastAsia="Arial" w:hAnsi="Arial"/>
          <w:color w:val="2C2C2A"/>
          <w:sz w:val="22"/>
          <w:szCs w:val="22"/>
        </w:rPr>
        <w:t xml:space="preserve">Approximately seven hundred million USD in annual remittance flows benefit from reduced de-risking premium as European correspondent banks gain access to sovereign-grade beneficial ownership verification.</w:t>
      </w:r>
    </w:p>
    <w:p>
      <w:pPr>
        <w:pStyle w:val="Heading2"/>
        <w:spacing w:after="160" w:before="320"/>
      </w:pPr>
      <w:r>
        <w:rPr>
          <w:rFonts w:ascii="Arial" w:cs="Arial" w:eastAsia="Arial" w:hAnsi="Arial"/>
          <w:b/>
          <w:bCs/>
          <w:color w:val="1A1A1A"/>
          <w:sz w:val="28"/>
          <w:szCs w:val="28"/>
        </w:rPr>
        <w:t xml:space="preserve">Indirect beneficiaries</w:t>
      </w:r>
    </w:p>
    <w:p>
      <w:pPr>
        <w:spacing w:after="140" w:line="320"/>
        <w:jc w:val="both"/>
      </w:pPr>
      <w:r>
        <w:rPr>
          <w:rFonts w:ascii="Arial" w:cs="Arial" w:eastAsia="Arial" w:hAnsi="Arial"/>
          <w:b w:val="false"/>
          <w:bCs w:val="false"/>
          <w:i w:val="false"/>
          <w:iCs w:val="false"/>
          <w:color w:val="2C2C2A"/>
          <w:sz w:val="22"/>
          <w:szCs w:val="22"/>
        </w:rPr>
        <w:t xml:space="preserve">Indirect beneficiaries are constituencies whose interests benefit from the platform’s operation through second-order effects.</w:t>
      </w:r>
    </w:p>
    <w:p>
      <w:pPr>
        <w:pStyle w:val="ListParagraph"/>
        <w:numPr>
          <w:ilvl w:val="0"/>
          <w:numId w:val="2"/>
        </w:numPr>
        <w:spacing w:after="80" w:line="300"/>
      </w:pPr>
      <w:r>
        <w:rPr>
          <w:rFonts w:ascii="Arial" w:cs="Arial" w:eastAsia="Arial" w:hAnsi="Arial"/>
          <w:color w:val="2C2C2A"/>
          <w:sz w:val="22"/>
          <w:szCs w:val="22"/>
        </w:rPr>
        <w:t xml:space="preserve">Citizens, journalists, and civil society organisations, who gain transparency access through the statutorily-grounded public tier and who can hold public officials and entities accountable through structured beneficial ownership data.</w:t>
      </w:r>
    </w:p>
    <w:p>
      <w:pPr>
        <w:pStyle w:val="ListParagraph"/>
        <w:numPr>
          <w:ilvl w:val="0"/>
          <w:numId w:val="2"/>
        </w:numPr>
        <w:spacing w:after="80" w:line="300"/>
      </w:pPr>
      <w:r>
        <w:rPr>
          <w:rFonts w:ascii="Arial" w:cs="Arial" w:eastAsia="Arial" w:hAnsi="Arial"/>
          <w:color w:val="2C2C2A"/>
          <w:sz w:val="22"/>
          <w:szCs w:val="22"/>
        </w:rPr>
        <w:t xml:space="preserve">Foreign investors and trade counterparts, who gain credible due-diligence infrastructure for Cameroonian counterparties and whose risk premium on Cameroonian engagement is correspondingly reduced.</w:t>
      </w:r>
    </w:p>
    <w:p>
      <w:pPr>
        <w:pStyle w:val="ListParagraph"/>
        <w:numPr>
          <w:ilvl w:val="0"/>
          <w:numId w:val="2"/>
        </w:numPr>
        <w:spacing w:after="80" w:line="300"/>
      </w:pPr>
      <w:r>
        <w:rPr>
          <w:rFonts w:ascii="Arial" w:cs="Arial" w:eastAsia="Arial" w:hAnsi="Arial"/>
          <w:color w:val="2C2C2A"/>
          <w:sz w:val="22"/>
          <w:szCs w:val="22"/>
        </w:rPr>
        <w:t xml:space="preserve">Honest businesses across all sectors, who operate in a more level competitive environment as concealed-ownership advantages are systematically surfaced.</w:t>
      </w:r>
    </w:p>
    <w:p>
      <w:pPr>
        <w:pStyle w:val="ListParagraph"/>
        <w:numPr>
          <w:ilvl w:val="0"/>
          <w:numId w:val="2"/>
        </w:numPr>
        <w:spacing w:after="80" w:line="300"/>
      </w:pPr>
      <w:r>
        <w:rPr>
          <w:rFonts w:ascii="Arial" w:cs="Arial" w:eastAsia="Arial" w:hAnsi="Arial"/>
          <w:color w:val="2C2C2A"/>
          <w:sz w:val="22"/>
          <w:szCs w:val="22"/>
        </w:rPr>
        <w:t xml:space="preserve">Regional CEMAC partners, who benefit from improved AML/CFT capacity in the largest CEMAC economy and from the precedent that RÉCOR establishes for the region.</w:t>
      </w:r>
    </w:p>
    <w:p>
      <w:pPr>
        <w:pStyle w:val="ListParagraph"/>
        <w:numPr>
          <w:ilvl w:val="0"/>
          <w:numId w:val="2"/>
        </w:numPr>
        <w:spacing w:after="80" w:line="300"/>
      </w:pPr>
      <w:r>
        <w:rPr>
          <w:rFonts w:ascii="Arial" w:cs="Arial" w:eastAsia="Arial" w:hAnsi="Arial"/>
          <w:color w:val="2C2C2A"/>
          <w:sz w:val="22"/>
          <w:szCs w:val="22"/>
        </w:rPr>
        <w:t xml:space="preserve">International cooperation counterparties, who gain a functional partner for asset-recovery cooperation under the StAR network and for cross-border investigations under MLAT frameworks.</w:t>
      </w:r>
    </w:p>
    <w:p>
      <w:pPr>
        <w:pStyle w:val="Heading2"/>
        <w:spacing w:after="160" w:before="320"/>
      </w:pPr>
      <w:r>
        <w:rPr>
          <w:rFonts w:ascii="Arial" w:cs="Arial" w:eastAsia="Arial" w:hAnsi="Arial"/>
          <w:b/>
          <w:bCs/>
          <w:color w:val="1A1A1A"/>
          <w:sz w:val="28"/>
          <w:szCs w:val="28"/>
        </w:rPr>
        <w:t xml:space="preserve">Implementing partners</w:t>
      </w:r>
    </w:p>
    <w:p>
      <w:pPr>
        <w:spacing w:after="140" w:line="320"/>
        <w:jc w:val="both"/>
      </w:pPr>
      <w:r>
        <w:rPr>
          <w:rFonts w:ascii="Arial" w:cs="Arial" w:eastAsia="Arial" w:hAnsi="Arial"/>
          <w:b w:val="false"/>
          <w:bCs w:val="false"/>
          <w:i w:val="false"/>
          <w:iCs w:val="false"/>
          <w:color w:val="2C2C2A"/>
          <w:sz w:val="22"/>
          <w:szCs w:val="22"/>
        </w:rPr>
        <w:t xml:space="preserve">The platform is implemented by a ten-organisation consortium with each organisation’s institutional role defined by its existing statutory mandate and by the platform’s technical architecture. Two of the ten seats are non-state.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Organisation</w:t>
            </w:r>
          </w:p>
        </w:tc>
        <w:tc>
          <w:tcPr>
            <w:tcW w:type="dxa" w:w="6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Institutional role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Ministry of Finance (MINFI)</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sponsor and operational steward; consortium chair; budget authority for state contribution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Ministry of Justice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lead; co-lead of the consortium; coordination with judicial authorities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Declaration intake at incorporation; mandatory disclosure at incorporation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Tax administration consumer; transfer-pricing detection; large-taxpayer audit support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intelligence unit; goAML integration; suspicious-transaction enrichment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Anti-corruption institution; asset declaration cross-reference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TCS</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Judicial authority for major economic crime; investigation channel</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 procurement regulator; conflict-of-interest surveillance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Central bank and banking supervisor; KYC API consumer for the banking sector</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Civil society seat (rotating)</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Designated through structured selection panel; provides non-state oversight including cryptographic veto on sensitive operations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International observer seat (rotating)</w:t>
            </w:r>
          </w:p>
        </w:tc>
        <w:tc>
          <w:tcPr>
            <w:tcW w:type="dxa" w:w="6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Rotates between Open Ownership, Transparency International, and the GABAC Secretariat; provides external observer presence</w:t>
            </w:r>
          </w:p>
        </w:tc>
      </w:tr>
    </w:tbl>
    <w:p>
      <w:pPr>
        <w:pStyle w:val="Heading1"/>
        <w:pageBreakBefore/>
        <w:spacing w:after="240" w:before="480"/>
      </w:pPr>
      <w:r>
        <w:rPr>
          <w:rFonts w:ascii="Arial" w:cs="Arial" w:eastAsia="Arial" w:hAnsi="Arial"/>
          <w:b/>
          <w:bCs/>
          <w:color w:val="1A1A1A"/>
          <w:sz w:val="36"/>
          <w:szCs w:val="36"/>
        </w:rPr>
        <w:t xml:space="preserve">Implementation Arrangements</w:t>
      </w:r>
    </w:p>
    <w:p>
      <w:pPr>
        <w:pStyle w:val="Heading2"/>
        <w:spacing w:after="160" w:before="320"/>
      </w:pPr>
      <w:r>
        <w:rPr>
          <w:rFonts w:ascii="Arial" w:cs="Arial" w:eastAsia="Arial" w:hAnsi="Arial"/>
          <w:b/>
          <w:bCs/>
          <w:color w:val="1A1A1A"/>
          <w:sz w:val="28"/>
          <w:szCs w:val="28"/>
        </w:rPr>
        <w:t xml:space="preserve">Institutional structure</w:t>
      </w:r>
    </w:p>
    <w:p>
      <w:pPr>
        <w:spacing w:after="140" w:line="320"/>
        <w:jc w:val="both"/>
      </w:pPr>
      <w:r>
        <w:rPr>
          <w:rFonts w:ascii="Arial" w:cs="Arial" w:eastAsia="Arial" w:hAnsi="Arial"/>
          <w:b w:val="false"/>
          <w:bCs w:val="false"/>
          <w:i w:val="false"/>
          <w:iCs w:val="false"/>
          <w:color w:val="2C2C2A"/>
          <w:sz w:val="22"/>
          <w:szCs w:val="22"/>
        </w:rPr>
        <w:t xml:space="preserve">The consortium operates through a three-tier governance structure. The Steering Committee, with one representative per member organisation, meets quarterly to set strategic direction, approve material policy decisions, and exercise oversight of the operations team. Decision rule is simple majority with each member holding one vote. The Technical Advisory Function, with seconded experts from each member organisation, meets monthly to advise on technical and operational decisions and to maintain the platform’s technical roadmap. The Operations Team, hosted within MINFI with seconded staff from consortium members and contracted technical staff, holds day-to-day operational responsibility and reports to the Steering Committee.</w:t>
      </w:r>
    </w:p>
    <w:p>
      <w:pPr>
        <w:spacing w:after="140" w:line="320"/>
        <w:jc w:val="both"/>
      </w:pPr>
      <w:r>
        <w:rPr>
          <w:rFonts w:ascii="Arial" w:cs="Arial" w:eastAsia="Arial" w:hAnsi="Arial"/>
          <w:b w:val="false"/>
          <w:bCs w:val="false"/>
          <w:i w:val="false"/>
          <w:iCs w:val="false"/>
          <w:color w:val="2C2C2A"/>
          <w:sz w:val="22"/>
          <w:szCs w:val="22"/>
        </w:rPr>
        <w:t xml:space="preserve">Decision rights are codified to prevent both technocratic overreach and political capture. Strategic and material policy decisions require Steering Committee approval. Cryptographic threshold-signed approval at the platform layer is required for the subset of decisions with direct cryptographic implications: additions and removals from the domestic PEP register, takedowns of public-tier records, changes to access policy, and material schema changes. The threshold-signed quorum is seven of ten consortium key-holders with at least one non-state signature, which is the structural property preventing capture by any single faction within the state apparatus or by the state apparatus as a whole.</w:t>
      </w:r>
    </w:p>
    <w:p>
      <w:pPr>
        <w:pStyle w:val="Heading2"/>
        <w:spacing w:after="160" w:before="320"/>
      </w:pPr>
      <w:r>
        <w:rPr>
          <w:rFonts w:ascii="Arial" w:cs="Arial" w:eastAsia="Arial" w:hAnsi="Arial"/>
          <w:b/>
          <w:bCs/>
          <w:color w:val="1A1A1A"/>
          <w:sz w:val="28"/>
          <w:szCs w:val="28"/>
        </w:rPr>
        <w:t xml:space="preserve">Lead implementing entity</w:t>
      </w:r>
    </w:p>
    <w:p>
      <w:pPr>
        <w:spacing w:after="140" w:line="320"/>
        <w:jc w:val="both"/>
      </w:pPr>
      <w:r>
        <w:rPr>
          <w:rFonts w:ascii="Arial" w:cs="Arial" w:eastAsia="Arial" w:hAnsi="Arial"/>
          <w:b w:val="false"/>
          <w:bCs w:val="false"/>
          <w:i w:val="false"/>
          <w:iCs w:val="false"/>
          <w:color w:val="2C2C2A"/>
          <w:sz w:val="22"/>
          <w:szCs w:val="22"/>
        </w:rPr>
        <w:t xml:space="preserve">MINFI is the lead implementing entity. The Ministry hosts the Operations Team, holds the budget authority for the state contribution, signs the legal commitments on behalf of the consortium, and represents the project to funders. Co-leadership is held by the Ministry of Justice for legal framework matters. This arrangement reflects existing institutional capacity within MINFI for the operational steward role and within the Ministry of Justice for the legal framework drafting and parliamentary coordination.</w:t>
      </w:r>
    </w:p>
    <w:p>
      <w:pPr>
        <w:pStyle w:val="Heading2"/>
        <w:spacing w:after="160" w:before="320"/>
      </w:pPr>
      <w:r>
        <w:rPr>
          <w:rFonts w:ascii="Arial" w:cs="Arial" w:eastAsia="Arial" w:hAnsi="Arial"/>
          <w:b/>
          <w:bCs/>
          <w:color w:val="1A1A1A"/>
          <w:sz w:val="28"/>
          <w:szCs w:val="28"/>
        </w:rPr>
        <w:t xml:space="preserve">Project management and funder coordination</w:t>
      </w:r>
    </w:p>
    <w:p>
      <w:pPr>
        <w:spacing w:after="140" w:line="320"/>
        <w:jc w:val="both"/>
      </w:pPr>
      <w:r>
        <w:rPr>
          <w:rFonts w:ascii="Arial" w:cs="Arial" w:eastAsia="Arial" w:hAnsi="Arial"/>
          <w:b w:val="false"/>
          <w:bCs w:val="false"/>
          <w:i w:val="false"/>
          <w:iCs w:val="false"/>
          <w:color w:val="2C2C2A"/>
          <w:sz w:val="22"/>
          <w:szCs w:val="22"/>
        </w:rPr>
        <w:t xml:space="preserve">Project management follows established multi-donor practice for large governance projects. A Project Management Unit (PMU) embedded within the MINFI Operations Team handles day-to-day project execution, with one senior project manager (consortium-employed, internationally recruited if necessary), one technical architect lead (responsible for technical execution), one operations and finance officer (responsible for budget execution and audit), and one communications and stakeholder engagement officer.</w:t>
      </w:r>
    </w:p>
    <w:p>
      <w:pPr>
        <w:spacing w:after="140" w:line="320"/>
        <w:jc w:val="both"/>
      </w:pPr>
      <w:r>
        <w:rPr>
          <w:rFonts w:ascii="Arial" w:cs="Arial" w:eastAsia="Arial" w:hAnsi="Arial"/>
          <w:b w:val="false"/>
          <w:bCs w:val="false"/>
          <w:i w:val="false"/>
          <w:iCs w:val="false"/>
          <w:color w:val="2C2C2A"/>
          <w:sz w:val="22"/>
          <w:szCs w:val="22"/>
        </w:rPr>
        <w:t xml:space="preserve">Funder coordination operates through a Funder Coordination Group convened at least quarterly during the build phase. Each funder is represented at the level appropriate to its engagement (typically the Country Manager or Programme Manager). The Group reviews progress against the results framework, addresses cross-funder coordination issues, and provides the institutional channel through which funder concerns reach the consortium’s Steering Committee. The Group is chaired in rotation among funders to prevent perception of single-funder dominance.</w:t>
      </w:r>
    </w:p>
    <w:p>
      <w:pPr>
        <w:pStyle w:val="Heading2"/>
        <w:spacing w:after="160" w:before="320"/>
      </w:pPr>
      <w:r>
        <w:rPr>
          <w:rFonts w:ascii="Arial" w:cs="Arial" w:eastAsia="Arial" w:hAnsi="Arial"/>
          <w:b/>
          <w:bCs/>
          <w:color w:val="1A1A1A"/>
          <w:sz w:val="28"/>
          <w:szCs w:val="28"/>
        </w:rPr>
        <w:t xml:space="preserve">Procurement and disbursement</w:t>
      </w:r>
    </w:p>
    <w:p>
      <w:pPr>
        <w:spacing w:after="140" w:line="320"/>
        <w:jc w:val="both"/>
      </w:pPr>
      <w:r>
        <w:rPr>
          <w:rFonts w:ascii="Arial" w:cs="Arial" w:eastAsia="Arial" w:hAnsi="Arial"/>
          <w:b w:val="false"/>
          <w:bCs w:val="false"/>
          <w:i w:val="false"/>
          <w:iCs w:val="false"/>
          <w:color w:val="2C2C2A"/>
          <w:sz w:val="22"/>
          <w:szCs w:val="22"/>
        </w:rPr>
        <w:t xml:space="preserve">Procurement of platform infrastructure and services follows the lead funder’s applicable procurement framework, with the World Bank Procurement Regulations applied where the Bank is the lead funder of the relevant component. Specific high-value procurements (the hardware security modules, the GPU cluster, the commercial sanctions and PEP feed licences, the AI inference services contract) are subject to the consortium’s formal procurement review with funder participation. Cryptographic infrastructure procurement (HSMs in particular) operates under special chain-of-custody arrangements to protect the integrity of the cryptographic root of trust.</w:t>
      </w:r>
    </w:p>
    <w:p>
      <w:pPr>
        <w:spacing w:after="140" w:line="320"/>
        <w:jc w:val="both"/>
      </w:pPr>
      <w:r>
        <w:rPr>
          <w:rFonts w:ascii="Arial" w:cs="Arial" w:eastAsia="Arial" w:hAnsi="Arial"/>
          <w:b w:val="false"/>
          <w:bCs w:val="false"/>
          <w:i w:val="false"/>
          <w:iCs w:val="false"/>
          <w:color w:val="2C2C2A"/>
          <w:sz w:val="22"/>
          <w:szCs w:val="22"/>
        </w:rPr>
        <w:t xml:space="preserve">Disbursement follows the consortium’s component-based budget structure documented in the financing chapter, with funder contributions allocated against components and disbursed against documented progress on component deliverables. Output-based disbursement is the preferred default for components 1, 3, and 5 (legal framework, integrations, change management); input-based disbursement is appropriate for components 2 and 4 (platform build) due to the long-cycle nature of software construction.</w:t>
      </w:r>
    </w:p>
    <w:p>
      <w:pPr>
        <w:pStyle w:val="Heading2"/>
        <w:spacing w:after="160" w:before="320"/>
      </w:pPr>
      <w:r>
        <w:rPr>
          <w:rFonts w:ascii="Arial" w:cs="Arial" w:eastAsia="Arial" w:hAnsi="Arial"/>
          <w:b/>
          <w:bCs/>
          <w:color w:val="1A1A1A"/>
          <w:sz w:val="28"/>
          <w:szCs w:val="28"/>
        </w:rPr>
        <w:t xml:space="preserve">Audit and accountability</w:t>
      </w:r>
    </w:p>
    <w:p>
      <w:pPr>
        <w:spacing w:after="140" w:line="320"/>
        <w:jc w:val="both"/>
      </w:pPr>
      <w:r>
        <w:rPr>
          <w:rFonts w:ascii="Arial" w:cs="Arial" w:eastAsia="Arial" w:hAnsi="Arial"/>
          <w:b w:val="false"/>
          <w:bCs w:val="false"/>
          <w:i w:val="false"/>
          <w:iCs w:val="false"/>
          <w:color w:val="2C2C2A"/>
          <w:sz w:val="22"/>
          <w:szCs w:val="22"/>
        </w:rPr>
        <w:t xml:space="preserve">The platform’s operations are subject to multiple layers of audit. Financial audit follows the lead funder’s requirements with annual independent audit by an accredited firm. Operational audit of the platform’s integrity is provided by the platform’s own Audit Service — a structurally independent service with separate institutional ownership from the operational platform — supplemented by quarterly inference audits by independent reviewers and by the periodic external assessments associated with ISO 27001 certification and SOC 2 Type II attestation. Public accountability is provided through the consortium’s quarterly operational reports, annual reports to the National Assembly’s relevant committee, and the public-tier transparency of the platform itself.</w:t>
      </w:r>
    </w:p>
    <w:p>
      <w:pPr>
        <w:pStyle w:val="Heading1"/>
        <w:pageBreakBefore/>
        <w:spacing w:after="240" w:before="480"/>
      </w:pPr>
      <w:r>
        <w:rPr>
          <w:rFonts w:ascii="Arial" w:cs="Arial" w:eastAsia="Arial" w:hAnsi="Arial"/>
          <w:b/>
          <w:bCs/>
          <w:color w:val="1A1A1A"/>
          <w:sz w:val="36"/>
          <w:szCs w:val="36"/>
        </w:rPr>
        <w:t xml:space="preserve">Indicative Cost and Financing Plan</w:t>
      </w:r>
    </w:p>
    <w:p>
      <w:pPr>
        <w:pStyle w:val="Heading2"/>
        <w:spacing w:after="160" w:before="320"/>
      </w:pPr>
      <w:r>
        <w:rPr>
          <w:rFonts w:ascii="Arial" w:cs="Arial" w:eastAsia="Arial" w:hAnsi="Arial"/>
          <w:b/>
          <w:bCs/>
          <w:color w:val="1A1A1A"/>
          <w:sz w:val="28"/>
          <w:szCs w:val="28"/>
        </w:rPr>
        <w:t xml:space="preserve">Total project cost</w:t>
      </w:r>
    </w:p>
    <w:p>
      <w:pPr>
        <w:spacing w:after="140" w:line="320"/>
        <w:jc w:val="both"/>
      </w:pPr>
      <w:r>
        <w:rPr>
          <w:rFonts w:ascii="Arial" w:cs="Arial" w:eastAsia="Arial" w:hAnsi="Arial"/>
          <w:b w:val="false"/>
          <w:bCs w:val="false"/>
          <w:i w:val="false"/>
          <w:iCs w:val="false"/>
          <w:color w:val="2C2C2A"/>
          <w:sz w:val="22"/>
          <w:szCs w:val="22"/>
        </w:rPr>
        <w:t xml:space="preserve">The total indicative project cost is in the range of eighteen to twenty-four million United States dollars for the build phase of eighteen to twenty-four months, with steady-state operating cost of six to eight million per year thereafter. The cost estimate is calibrated against comparable sovereign registry builds in the United Kingdom (Companies House People with Significant Control), Ukraine (Beneficial Ownership Register), Slovakia (Register of Public Sector Partners), and Nigeria (Persons with Significant Control Register), with explicit adjustment for the verification depth and political-resilience properties that distinguish RÉCOR from first-generation registries now retrofitting those properties at higher cost.</w:t>
      </w:r>
    </w:p>
    <w:p>
      <w:pPr>
        <w:spacing w:after="140" w:line="320"/>
        <w:jc w:val="both"/>
      </w:pPr>
      <w:r>
        <w:rPr>
          <w:rFonts w:ascii="Arial" w:cs="Arial" w:eastAsia="Arial" w:hAnsi="Arial"/>
          <w:b w:val="false"/>
          <w:bCs w:val="false"/>
          <w:i w:val="false"/>
          <w:iCs w:val="false"/>
          <w:color w:val="2C2C2A"/>
          <w:sz w:val="22"/>
          <w:szCs w:val="22"/>
        </w:rPr>
        <w:t xml:space="preserve">The cost is presented as a range rather than a point estimate because precise costing depends on final scope decisions during inception (the exact technology specifications of the cryptographic and AI infrastructure, the negotiated terms of the commercial PEP and sanctions feed licences, the inflation environment over the build period) and on the contingency reserve held against discovered rework during the pilot phase. Funder commitments are sought against the upper end of the range with the understanding that lower out-turn returns the difference to the funders.</w:t>
      </w:r>
    </w:p>
    <w:p>
      <w:pPr>
        <w:pStyle w:val="Heading2"/>
        <w:spacing w:after="160" w:before="320"/>
      </w:pPr>
      <w:r>
        <w:rPr>
          <w:rFonts w:ascii="Arial" w:cs="Arial" w:eastAsia="Arial" w:hAnsi="Arial"/>
          <w:b/>
          <w:bCs/>
          <w:color w:val="1A1A1A"/>
          <w:sz w:val="28"/>
          <w:szCs w:val="28"/>
        </w:rPr>
        <w:t xml:space="preserve">Cost breakdown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26"/>
      </w:tblGrid>
      <w:tr>
        <w:tc>
          <w:tcPr>
            <w:tcW w:type="dxa" w:w="3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Category</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Indicative range (USD)</w:t>
            </w:r>
          </w:p>
        </w:tc>
        <w:tc>
          <w:tcPr>
            <w:tcW w:type="dxa" w:w="3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Notes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drafting and parliamentary support</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Specialist legal drafters, public consultation, parliamentary engagement support</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Hardware infrastructure procurement and installation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2.5–3.5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HSMs across three sites; GPU cluster for sovereign LLM inference; servers and network for both operational sites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development — platform substrate and verification engine</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5–6.5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Approximately 35 engineering FTEs across cryptography, platform, verification engineering, and integration teams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Software development — applications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2–2.5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Approximately 12 engineering FTEs on the six role-specific applications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integration negotiation and implementation</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2–3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institutional integrations with engineering effort on both sides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AI inference consumption during build and pilot</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Material spend during pilot and load-testing phases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Commercial sanctions and PEP feed licences</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200–400 K</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LSEG World-Check, Dow Jones Risk, complementary feeds</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Security audits, penetration testing, accessibility audit</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300–500 K</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Multiple independent engagements pre-launch</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Change management and capacity building</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1.5–2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Training programmes, declarant outreach, public launch</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First-year operations during launch year</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3.5–4.5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Operating cost during the months 18–24 launch period</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Contingency</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1.5–2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10–12% reserve against discovered rework and integration complexity</w:t>
            </w:r>
          </w:p>
        </w:tc>
      </w:tr>
      <w:tr>
        <w:tc>
          <w:tcPr>
            <w:tcW w:type="dxa" w:w="3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 M</w:t>
            </w:r>
          </w:p>
        </w:tc>
        <w:tc>
          <w:tcPr>
            <w:tcW w:type="dxa" w:w="3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w:r>
          </w:p>
        </w:tc>
      </w:tr>
    </w:tbl>
    <w:p>
      <w:pPr>
        <w:pStyle w:val="Heading2"/>
        <w:spacing w:after="160" w:before="320"/>
      </w:pPr>
      <w:r>
        <w:rPr>
          <w:rFonts w:ascii="Arial" w:cs="Arial" w:eastAsia="Arial" w:hAnsi="Arial"/>
          <w:b/>
          <w:bCs/>
          <w:color w:val="1A1A1A"/>
          <w:sz w:val="28"/>
          <w:szCs w:val="28"/>
        </w:rPr>
        <w:t xml:space="preserve">Steady-state operating cost</w:t>
      </w:r>
    </w:p>
    <w:p>
      <w:pPr>
        <w:spacing w:after="140" w:line="320"/>
        <w:jc w:val="both"/>
      </w:pPr>
      <w:r>
        <w:rPr>
          <w:rFonts w:ascii="Arial" w:cs="Arial" w:eastAsia="Arial" w:hAnsi="Arial"/>
          <w:b w:val="false"/>
          <w:bCs w:val="false"/>
          <w:i w:val="false"/>
          <w:iCs w:val="false"/>
          <w:color w:val="2C2C2A"/>
          <w:sz w:val="22"/>
          <w:szCs w:val="22"/>
        </w:rPr>
        <w:t xml:space="preserve">Steady-state operating cost in years three onward is in the range of six to eight million United States dollars per year. The principal cost categories are: the in-country GPU inference cluster operations (one to one-and-a-half million per year, dominated by power, cooling, and hardware refresh amortisation); Anthropic API consumption (two-and-a-half to four million per year, with substantial volume on Tier A for adverse-media and sanctions reasoning and on Tier B for cross-declaration pattern reasoning); commercial PEP and sanctions feed licences (four hundred to seven hundred thousand per year); the site reliability and security operations teams (one-and-a-half to two million per year); the verification analyst staff (six hundred thousand to one million per year); and ongoing engineering capacity for platform evolution and incident response (one to one-and-a-half million per year).</w:t>
      </w:r>
    </w:p>
    <w:p>
      <w:pPr>
        <w:spacing w:after="140" w:line="320"/>
        <w:jc w:val="both"/>
      </w:pPr>
      <w:r>
        <w:rPr>
          <w:rFonts w:ascii="Arial" w:cs="Arial" w:eastAsia="Arial" w:hAnsi="Arial"/>
          <w:b w:val="false"/>
          <w:bCs w:val="false"/>
          <w:i w:val="false"/>
          <w:iCs w:val="false"/>
          <w:color w:val="2C2C2A"/>
          <w:sz w:val="22"/>
          <w:szCs w:val="22"/>
        </w:rPr>
        <w:t xml:space="preserve">Steady-state financing is structured as state-contribution-primary, with the consortium’s state members’ budget allocations carrying the principal operating burden once the build phase concludes. Funder support during the steady state is sought for the specific items that present sovereign-procurement difficulty (the Anthropic API consumption, the commercial feed licences) for the first three to five years of operation, after which the state allocation absorbs the full operating cost. This structure ensures that the platform is operationally sustainable beyond the funder horizon.</w:t>
      </w:r>
    </w:p>
    <w:p>
      <w:pPr>
        <w:pStyle w:val="Heading2"/>
        <w:spacing w:after="160" w:before="320"/>
      </w:pPr>
      <w:r>
        <w:rPr>
          <w:rFonts w:ascii="Arial" w:cs="Arial" w:eastAsia="Arial" w:hAnsi="Arial"/>
          <w:b/>
          <w:bCs/>
          <w:color w:val="1A1A1A"/>
          <w:sz w:val="28"/>
          <w:szCs w:val="28"/>
        </w:rPr>
        <w:t xml:space="preserve">Proposed financing plan</w:t>
      </w:r>
    </w:p>
    <w:p>
      <w:pPr>
        <w:spacing w:after="140" w:line="320"/>
        <w:jc w:val="both"/>
      </w:pPr>
      <w:r>
        <w:rPr>
          <w:rFonts w:ascii="Arial" w:cs="Arial" w:eastAsia="Arial" w:hAnsi="Arial"/>
          <w:b w:val="false"/>
          <w:bCs w:val="false"/>
          <w:i w:val="false"/>
          <w:iCs w:val="false"/>
          <w:color w:val="2C2C2A"/>
          <w:sz w:val="22"/>
          <w:szCs w:val="22"/>
        </w:rPr>
        <w:t xml:space="preserve">The indicative financing plan below allocates the build-phase cost across the proposed funders. Allocations are calibrated against each funder’s mandate alignment and typical contribution scale for governance and AML/CFT engagements. Final allocations are subject to funder commitment and to the pledging-conference process described in the next-steps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Funder / source</w:t>
            </w:r>
          </w:p>
        </w:tc>
        <w:tc>
          <w:tcPr>
            <w:tcW w:type="dxa" w:w="2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Indicative contribution (USD)</w:t>
            </w:r>
          </w:p>
        </w:tc>
        <w:tc>
          <w:tcPr>
            <w:tcW w:type="dxa" w:w="4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Mandate-aligned components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World Bank Group (IDA grant and/or trust fund)</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6–9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Components 2, 3, and 5; with particular emphasis on the integrity-VPU-aligned ARMP and CONAC integration tracks</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European Union (Global Europe / NDICI)</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4–6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Components 1, 3, and 5; with particular emphasis on the BEAC integration that addresses correspondent banking de-risking</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IMF (technical assistance via AFRITAC Central, plus topical trust funds)</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1–2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Components 1 and 3; particular emphasis on the legal framework drafting and on the DGI transfer-pricing detection integration</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UNODC (StAR plus goAML programme)</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1–2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Component 3; particular emphasis on the ANIF goAML integration and on the international cooperation interface</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GIZ</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1.5–2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Components 1 and 5; particular emphasis on capacity building, change management, and civil-society engagement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Government of Cameroon (cost-share, in-kind plus cash)</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2–3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Across all components; staff secondments, facilities, parliamentary and ministerial engagement</w:t>
            </w:r>
          </w:p>
        </w:tc>
      </w:tr>
      <w:tr>
        <w:tc>
          <w:tcPr>
            <w:tcW w:type="dxa" w:w="2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Total</w:t>
            </w:r>
          </w:p>
        </w:tc>
        <w:tc>
          <w:tcPr>
            <w:tcW w:type="dxa" w:w="2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16–24 M</w:t>
            </w:r>
          </w:p>
        </w:tc>
        <w:tc>
          <w:tcPr>
            <w:tcW w:type="dxa" w:w="4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w:r>
          </w:p>
        </w:tc>
      </w:tr>
    </w:tbl>
    <w:p>
      <w:pPr>
        <w:spacing w:after="140" w:line="320"/>
        <w:jc w:val="both"/>
      </w:pPr>
      <w:r>
        <w:rPr>
          <w:rFonts w:ascii="Arial" w:cs="Arial" w:eastAsia="Arial" w:hAnsi="Arial"/>
          <w:b w:val="false"/>
          <w:bCs w:val="false"/>
          <w:i w:val="false"/>
          <w:iCs w:val="false"/>
          <w:color w:val="2C2C2A"/>
          <w:sz w:val="22"/>
          <w:szCs w:val="22"/>
        </w:rPr>
        <w:t xml:space="preserve">The financing plan is presented as indicative because the precise funder allocations are subject to each funder’s internal approval cycle and to the consortium’s pledging conference. The plan is constructed against the upper bound of the cost estimate so that funder commitments at the indicative levels achieve full project financing without requiring later supplementary funding rounds.</w:t>
      </w:r>
    </w:p>
    <w:p>
      <w:pPr>
        <w:pStyle w:val="Heading2"/>
        <w:spacing w:after="160" w:before="320"/>
      </w:pPr>
      <w:r>
        <w:rPr>
          <w:rFonts w:ascii="Arial" w:cs="Arial" w:eastAsia="Arial" w:hAnsi="Arial"/>
          <w:b/>
          <w:bCs/>
          <w:color w:val="1A1A1A"/>
          <w:sz w:val="28"/>
          <w:szCs w:val="28"/>
        </w:rPr>
        <w:t xml:space="preserve">Government of Cameroon counterpart commitment</w:t>
      </w:r>
    </w:p>
    <w:p>
      <w:pPr>
        <w:spacing w:after="140" w:line="320"/>
        <w:jc w:val="both"/>
      </w:pPr>
      <w:r>
        <w:rPr>
          <w:rFonts w:ascii="Arial" w:cs="Arial" w:eastAsia="Arial" w:hAnsi="Arial"/>
          <w:b w:val="false"/>
          <w:bCs w:val="false"/>
          <w:i w:val="false"/>
          <w:iCs w:val="false"/>
          <w:color w:val="2C2C2A"/>
          <w:sz w:val="22"/>
          <w:szCs w:val="22"/>
        </w:rPr>
        <w:t xml:space="preserve">The Government of Cameroon’s counterpart contribution operates through three channels: a cash budget allocation of approximately one to two million United States dollars for direct procurement support and for the legal-framework-drafting fee structure; an in-kind contribution of staff secondments to the Operations Team and to the Technical Advisory Function, valued at approximately one to one-and-a-half million dollars over the build period; and the provision of facilities (the two operational sites and the ceremonial site), valued at approximately five hundred thousand to one million over the build period. The total counterpart commitment is therefore in the range of two to three million United States dollars, demonstrating substantive domestic ownership of the project.</w:t>
      </w:r>
    </w:p>
    <w:p>
      <w:pPr>
        <w:pStyle w:val="Heading1"/>
        <w:pageBreakBefore/>
        <w:spacing w:after="240" w:before="480"/>
      </w:pPr>
      <w:r>
        <w:rPr>
          <w:rFonts w:ascii="Arial" w:cs="Arial" w:eastAsia="Arial" w:hAnsi="Arial"/>
          <w:b/>
          <w:bCs/>
          <w:color w:val="1A1A1A"/>
          <w:sz w:val="36"/>
          <w:szCs w:val="36"/>
        </w:rPr>
        <w:t xml:space="preserve">Indicative Timeline</w:t>
      </w:r>
    </w:p>
    <w:p>
      <w:pPr>
        <w:spacing w:after="140" w:line="320"/>
        <w:jc w:val="both"/>
      </w:pPr>
      <w:r>
        <w:rPr>
          <w:rFonts w:ascii="Arial" w:cs="Arial" w:eastAsia="Arial" w:hAnsi="Arial"/>
          <w:b w:val="false"/>
          <w:bCs w:val="false"/>
          <w:i w:val="false"/>
          <w:iCs w:val="false"/>
          <w:color w:val="2C2C2A"/>
          <w:sz w:val="22"/>
          <w:szCs w:val="22"/>
        </w:rPr>
        <w:t xml:space="preserve">The project is sequenced across five build phases over eighteen to twenty-four months from funding close to production launch. The phasing is engineered against three constraints simultaneously: technical dependencies, institutional readiness of consumer institutions, and legal framework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c>
          <w:tcPr>
            <w:tcW w:type="dxa" w:w="14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Phase</w:t>
            </w:r>
          </w:p>
        </w:tc>
        <w:tc>
          <w:tcPr>
            <w:tcW w:type="dxa" w:w="1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Months</w:t>
            </w:r>
          </w:p>
        </w:tc>
        <w:tc>
          <w:tcPr>
            <w:tcW w:type="dxa" w:w="58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Principal deliverables</w:t>
            </w:r>
          </w:p>
        </w:tc>
      </w:tr>
      <w:tr>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Phase 1</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0–4</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drafted and at parliamentary first reading; consortium established; Kubernetes platform stood up at both sites; HSMs procured, shipped, and initialised in ceremony; Fabric network operational across the ten organisations; core Entity, Person, and Declaration services in operation; data model implemented; observability and CI/CD substrate live; synthetic-data pipeline demonstrating intake and storage</w:t>
            </w:r>
          </w:p>
        </w:tc>
      </w:tr>
      <w:tr>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Phase 2</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4–9</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built stage by stage from schema validation through Dempster–Shafer fusion and lane routing; Declarant Portal built; pilot operation with the largest two hundred ARMP-registered bidders running by month seven; iterative tuning of thresholds and basic-probability assignments through month ten; design either holds or fails at this point with budget reserved for rework</w:t>
            </w:r>
          </w:p>
        </w:tc>
      </w:tr>
      <w:tr>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Phase 3</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9–14</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consumer integrations negotiated and implemented in parallel; ARMP, ANIF goAML, DGI, and BEAC banking integrations completed by month thirteen; customs ASYCUDA, sectoral cadastres, CONAC, and INTERPOL/StAR integrations completed by month fourteen</w:t>
            </w:r>
          </w:p>
        </w:tc>
      </w:tr>
      <w:tr>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Phase 4</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14–18</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Investigation Workbench, Public Portal, Whistleblower Intake, and Administrative Console built; supervised pattern-detection classifier trained on Phase 2 and Phase 3 accumulated data; community detection brought into production</w:t>
            </w:r>
          </w:p>
        </w:tc>
      </w:tr>
      <w:tr>
        <w:tc>
          <w:tcPr>
            <w:tcW w:type="dxa" w:w="14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Phase 5</w:t>
            </w:r>
          </w:p>
        </w:tc>
        <w:tc>
          <w:tcPr>
            <w:tcW w:type="dxa" w:w="1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w:t>
            </w:r>
          </w:p>
        </w:tc>
        <w:tc>
          <w:tcPr>
            <w:tcW w:type="dxa" w:w="58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Mandatory rollout phased by entity class and by sector; BODS export to Open Ownership operational from month nineteen; international cooperation through INTERPOL I-24/7 and StAR operational from month twenty-one; full mandatory declaration at month twenty-four; platform formally enters production operation with steady-state operating model in effect</w:t>
            </w:r>
          </w:p>
        </w:tc>
      </w:tr>
    </w:tbl>
    <w:p>
      <w:pPr>
        <w:spacing w:after="140" w:line="320"/>
        <w:jc w:val="both"/>
      </w:pPr>
      <w:r>
        <w:rPr>
          <w:rFonts w:ascii="Arial" w:cs="Arial" w:eastAsia="Arial" w:hAnsi="Arial"/>
          <w:b w:val="false"/>
          <w:bCs w:val="false"/>
          <w:i w:val="false"/>
          <w:iCs w:val="false"/>
          <w:color w:val="2C2C2A"/>
          <w:sz w:val="22"/>
          <w:szCs w:val="22"/>
        </w:rPr>
        <w:t xml:space="preserve">Critical-path dependencies between phases are explicit. Phase 2 cannot begin until Phase 1’s cryptographic substrate is operational. Phase 3 integrations cannot proceed faster than the consumer institution’s side of each integration. Phase 5 mandatory rollout cannot proceed faster than legal framework progression — the legal framework must reach the threshold for mandatory declaration by the start of Phase 5. The build sequence permits operating in non-mandatory mode through month eighteen if legal framework progression is delayed, providing buffer against legislative slippage.</w:t>
      </w:r>
    </w:p>
    <w:p>
      <w:pPr>
        <w:pStyle w:val="Heading1"/>
        <w:pageBreakBefore/>
        <w:spacing w:after="240" w:before="480"/>
      </w:pPr>
      <w:r>
        <w:rPr>
          <w:rFonts w:ascii="Arial" w:cs="Arial" w:eastAsia="Arial" w:hAnsi="Arial"/>
          <w:b/>
          <w:bCs/>
          <w:color w:val="1A1A1A"/>
          <w:sz w:val="36"/>
          <w:szCs w:val="36"/>
        </w:rPr>
        <w:t xml:space="preserve">Sustainability</w:t>
      </w:r>
    </w:p>
    <w:p>
      <w:pPr>
        <w:pStyle w:val="Heading2"/>
        <w:spacing w:after="160" w:before="320"/>
      </w:pPr>
      <w:r>
        <w:rPr>
          <w:rFonts w:ascii="Arial" w:cs="Arial" w:eastAsia="Arial" w:hAnsi="Arial"/>
          <w:b/>
          <w:bCs/>
          <w:color w:val="1A1A1A"/>
          <w:sz w:val="28"/>
          <w:szCs w:val="28"/>
        </w:rPr>
        <w:t xml:space="preserve">Financial sustainability</w:t>
      </w:r>
    </w:p>
    <w:p>
      <w:pPr>
        <w:spacing w:after="140" w:line="320"/>
        <w:jc w:val="both"/>
      </w:pPr>
      <w:r>
        <w:rPr>
          <w:rFonts w:ascii="Arial" w:cs="Arial" w:eastAsia="Arial" w:hAnsi="Arial"/>
          <w:b w:val="false"/>
          <w:bCs w:val="false"/>
          <w:i w:val="false"/>
          <w:iCs w:val="false"/>
          <w:color w:val="2C2C2A"/>
          <w:sz w:val="22"/>
          <w:szCs w:val="22"/>
        </w:rPr>
        <w:t xml:space="preserve">The platform’s financial sustainability rests on three pillars. First, the steady-state operating cost of six to eight million United States dollars per year is well within the Cameroonian state’s budgetary capacity, and the platform is structured to transition fully to state financing by year five of operation. Second, the platform produces direct fiscal returns through DGI transfer-pricing detection and through CONAC asset-declaration cross-referencing that, on conservative impact estimates, exceed the steady-state operating cost. Third, the platform’s operating cost is itself disciplined by the architectural decisions documented in the Build Specification — the Anthropic-primary AI strategy with explicit cost optimisation through fallback to Sonnet for cost-sensitive workloads, the sovereign GPU cluster sized for steady-state demand, the open-source non-sensitive components reducing licensing exposure.</w:t>
      </w:r>
    </w:p>
    <w:p>
      <w:pPr>
        <w:spacing w:after="140" w:line="320"/>
        <w:jc w:val="both"/>
      </w:pPr>
      <w:r>
        <w:rPr>
          <w:rFonts w:ascii="Arial" w:cs="Arial" w:eastAsia="Arial" w:hAnsi="Arial"/>
          <w:b w:val="false"/>
          <w:bCs w:val="false"/>
          <w:i w:val="false"/>
          <w:iCs w:val="false"/>
          <w:color w:val="2C2C2A"/>
          <w:sz w:val="22"/>
          <w:szCs w:val="22"/>
        </w:rPr>
        <w:t xml:space="preserve">Funder support during the steady state is sought for specific items that present sovereign-procurement difficulty (the Anthropic API consumption, the commercial PEP and sanctions feed licences) for the first three to five years of operation, with the state allocation absorbing these items thereafter. This phased transition is structured into the project’s exit strategy and is monitored through the financial sustainability indicator in the results framework.</w:t>
      </w:r>
    </w:p>
    <w:p>
      <w:pPr>
        <w:pStyle w:val="Heading2"/>
        <w:spacing w:after="160" w:before="320"/>
      </w:pPr>
      <w:r>
        <w:rPr>
          <w:rFonts w:ascii="Arial" w:cs="Arial" w:eastAsia="Arial" w:hAnsi="Arial"/>
          <w:b/>
          <w:bCs/>
          <w:color w:val="1A1A1A"/>
          <w:sz w:val="28"/>
          <w:szCs w:val="28"/>
        </w:rPr>
        <w:t xml:space="preserve">Institutional sustainability</w:t>
      </w:r>
    </w:p>
    <w:p>
      <w:pPr>
        <w:spacing w:after="140" w:line="320"/>
        <w:jc w:val="both"/>
      </w:pPr>
      <w:r>
        <w:rPr>
          <w:rFonts w:ascii="Arial" w:cs="Arial" w:eastAsia="Arial" w:hAnsi="Arial"/>
          <w:b w:val="false"/>
          <w:bCs w:val="false"/>
          <w:i w:val="false"/>
          <w:iCs w:val="false"/>
          <w:color w:val="2C2C2A"/>
          <w:sz w:val="22"/>
          <w:szCs w:val="22"/>
        </w:rPr>
        <w:t xml:space="preserve">Institutional sustainability rests on the structural property that the platform’s operational utility is greater than the operational cost to each consortium member. Each of the eight state institutions in the consortium derives direct mandate satisfaction from the platform’s operation that exceeds the institutional investment required to maintain its consortium role. ARMP’s procurement integrity is measurably enhanced; ANIF’s financial intelligence dissemination is operationally enriched; DGI’s revenue mobilisation gains a substantial new lever; BEAC’s supervisory function gains a verified data source; CONAC’s asset-declaration cross-reference becomes mechanically possible. The consortium thus operates on the basis of mutual self-interest, not on the basis of donor-mandated cooperation that decays with the funding cycle.</w:t>
      </w:r>
    </w:p>
    <w:p>
      <w:pPr>
        <w:spacing w:after="140" w:line="320"/>
        <w:jc w:val="both"/>
      </w:pPr>
      <w:r>
        <w:rPr>
          <w:rFonts w:ascii="Arial" w:cs="Arial" w:eastAsia="Arial" w:hAnsi="Arial"/>
          <w:b w:val="false"/>
          <w:bCs w:val="false"/>
          <w:i w:val="false"/>
          <w:iCs w:val="false"/>
          <w:color w:val="2C2C2A"/>
          <w:sz w:val="22"/>
          <w:szCs w:val="22"/>
        </w:rPr>
        <w:t xml:space="preserve">The civil society seat and the rotating international observer seat are structured to remain attractive to their holders. The civil society seat operates under a three-year non-renewable term that preserves the value of the seat as a public-interest credential. The international observer seat rotation between Open Ownership, Transparency International, and the GABAC Secretariat ensures that no single international actor accumulates structural dependence on the seat.</w:t>
      </w:r>
    </w:p>
    <w:p>
      <w:pPr>
        <w:pStyle w:val="Heading2"/>
        <w:spacing w:after="160" w:before="320"/>
      </w:pPr>
      <w:r>
        <w:rPr>
          <w:rFonts w:ascii="Arial" w:cs="Arial" w:eastAsia="Arial" w:hAnsi="Arial"/>
          <w:b/>
          <w:bCs/>
          <w:color w:val="1A1A1A"/>
          <w:sz w:val="28"/>
          <w:szCs w:val="28"/>
        </w:rPr>
        <w:t xml:space="preserve">Technical sustainability</w:t>
      </w:r>
    </w:p>
    <w:p>
      <w:pPr>
        <w:spacing w:after="140" w:line="320"/>
        <w:jc w:val="both"/>
      </w:pPr>
      <w:r>
        <w:rPr>
          <w:rFonts w:ascii="Arial" w:cs="Arial" w:eastAsia="Arial" w:hAnsi="Arial"/>
          <w:b w:val="false"/>
          <w:bCs w:val="false"/>
          <w:i w:val="false"/>
          <w:iCs w:val="false"/>
          <w:color w:val="2C2C2A"/>
          <w:sz w:val="22"/>
          <w:szCs w:val="22"/>
        </w:rPr>
        <w:t xml:space="preserve">Technical sustainability rests on architectural commitments documented in the Build Specification: layer-by-layer replaceability through stable interface contracts, vendor diversity across cryptographic infrastructure, AI fallback paths, open-source non-sensitive components, and a documented technology roadmap reviewed quarterly. The platform is engineered for a minimum ten-year operational lifetime with technology evolution accommodated through the layer-replacement model rather than through wholesale rebuild.</w:t>
      </w:r>
    </w:p>
    <w:p>
      <w:pPr>
        <w:spacing w:after="140" w:line="320"/>
        <w:jc w:val="both"/>
      </w:pPr>
      <w:r>
        <w:rPr>
          <w:rFonts w:ascii="Arial" w:cs="Arial" w:eastAsia="Arial" w:hAnsi="Arial"/>
          <w:b w:val="false"/>
          <w:bCs w:val="false"/>
          <w:i w:val="false"/>
          <w:iCs w:val="false"/>
          <w:color w:val="2C2C2A"/>
          <w:sz w:val="22"/>
          <w:szCs w:val="22"/>
        </w:rPr>
        <w:t xml:space="preserve">Specific technical sustainability commitments: the Anthropic-primary AI strategy is monitored quarterly against the broader AI capability landscape, with planned model upgrades evaluated through parallel-test regimes against production traffic samples; the cryptographic substrate is reviewed annually against emerging post-quantum threats with documented migration paths; the codebase is maintained at clarity and test-coverage standards that permit team transitions without operational degradation; the open-source non-sensitive components broaden the pool of contributors and external reviewers.</w:t>
      </w:r>
    </w:p>
    <w:p>
      <w:pPr>
        <w:pStyle w:val="Heading2"/>
        <w:spacing w:after="160" w:before="320"/>
      </w:pPr>
      <w:r>
        <w:rPr>
          <w:rFonts w:ascii="Arial" w:cs="Arial" w:eastAsia="Arial" w:hAnsi="Arial"/>
          <w:b/>
          <w:bCs/>
          <w:color w:val="1A1A1A"/>
          <w:sz w:val="28"/>
          <w:szCs w:val="28"/>
        </w:rPr>
        <w:t xml:space="preserve">Political sustainability</w:t>
      </w:r>
    </w:p>
    <w:p>
      <w:pPr>
        <w:spacing w:after="140" w:line="320"/>
        <w:jc w:val="both"/>
      </w:pPr>
      <w:r>
        <w:rPr>
          <w:rFonts w:ascii="Arial" w:cs="Arial" w:eastAsia="Arial" w:hAnsi="Arial"/>
          <w:b w:val="false"/>
          <w:bCs w:val="false"/>
          <w:i w:val="false"/>
          <w:iCs w:val="false"/>
          <w:color w:val="2C2C2A"/>
          <w:sz w:val="22"/>
          <w:szCs w:val="22"/>
        </w:rPr>
        <w:t xml:space="preserve">Political sustainability is the property most easily eroded and most carefully engineered. The platform is designed to survive political transition, attempted capture by single factions, and the first politically inconvenient public match. The principal political-sustainability commitments are: statutory grounding of the public tier with narrow takedown provisions preventing administrative closure; threshold-signed approval for sensitive operations requiring quorum across state and non-state seats; external sovereignty-independent anchoring against future accusations of state tampering; independent Audit Service preventing internal cover-up; open-source non-sensitive components subjecting the codebase to global review; quarterly transparency reporting building public legitimacy over time.</w:t>
      </w:r>
    </w:p>
    <w:p>
      <w:pPr>
        <w:spacing w:after="140" w:line="320"/>
        <w:jc w:val="both"/>
      </w:pPr>
      <w:r>
        <w:rPr>
          <w:rFonts w:ascii="Arial" w:cs="Arial" w:eastAsia="Arial" w:hAnsi="Arial"/>
          <w:b w:val="false"/>
          <w:bCs w:val="false"/>
          <w:i w:val="false"/>
          <w:iCs w:val="false"/>
          <w:color w:val="2C2C2A"/>
          <w:sz w:val="22"/>
          <w:szCs w:val="22"/>
        </w:rPr>
        <w:t xml:space="preserve">The first political stress test will arrive within weeks of the public-tier launch when a politically prominent figure’s undeclared business interest is surfaced. The consortium’s preparation for this moment is itself a project deliverable: a documented communications strategy, pre-positioned legal opinions on the public-tier statutory grounding, civil society and media partnerships engaged ahead of launch. The political sustainability test is structurally engineered rather than left to chance.</w:t>
      </w:r>
    </w:p>
    <w:p>
      <w:pPr>
        <w:pStyle w:val="Heading1"/>
        <w:pageBreakBefore/>
        <w:spacing w:after="240" w:before="480"/>
      </w:pPr>
      <w:r>
        <w:rPr>
          <w:rFonts w:ascii="Arial" w:cs="Arial" w:eastAsia="Arial" w:hAnsi="Arial"/>
          <w:b/>
          <w:bCs/>
          <w:color w:val="1A1A1A"/>
          <w:sz w:val="36"/>
          <w:szCs w:val="36"/>
        </w:rPr>
        <w:t xml:space="preserve">Risk Matrix</w:t>
      </w:r>
    </w:p>
    <w:p>
      <w:pPr>
        <w:spacing w:after="140" w:line="320"/>
        <w:jc w:val="both"/>
      </w:pPr>
      <w:r>
        <w:rPr>
          <w:rFonts w:ascii="Arial" w:cs="Arial" w:eastAsia="Arial" w:hAnsi="Arial"/>
          <w:b w:val="false"/>
          <w:bCs w:val="false"/>
          <w:i w:val="false"/>
          <w:iCs w:val="false"/>
          <w:color w:val="2C2C2A"/>
          <w:sz w:val="22"/>
          <w:szCs w:val="22"/>
        </w:rPr>
        <w:t xml:space="preserve">Project risks are documented below with severity, probability, and mitigation. The full risk register with assigned owners and quarterly review process is documented in the Build Specification; this concept-note risk matrix presents the principal risks at the level appropriate to funder consultation.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626"/>
      </w:tblGrid>
      <w:tr>
        <w:tc>
          <w:tcPr>
            <w:tcW w:type="dxa" w:w="30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Risk</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Severity</w:t>
            </w:r>
          </w:p>
        </w:tc>
        <w:tc>
          <w:tcPr>
            <w:tcW w:type="dxa" w:w="1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Probability</w:t>
            </w:r>
          </w:p>
        </w:tc>
        <w:tc>
          <w:tcPr>
            <w:tcW w:type="dxa" w:w="36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Mitigation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fails to catch front-person declarations at acceptable rate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Critical</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Eight pattern-detection signature classes operating in parallel; pilot calibration in Phase 2 before mandatory rollout; quarterly inference audit; supervised classifier improving over operational time</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framework slips behind technical build schedule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Medium–High</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Legal stream begins day zero in Phase 1; parliamentary engagement from month one; build sequence permits operation in non-mandatory mode through month eighteen</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Political capture attempt by single faction</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Non-state consortium seats with cryptographic veto on sensitive operations; statutory public-tier grounding; external anchoring; independent Audit Service; open-source non-sensitive components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First politically inconvenient public match triggers political backlash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 (anticipated)</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Coordinated launch with media and civil society partners; statutory grounding with narrow takedown provisions; pre-launch engagement with parliamentary opposition and major parties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Cyber-security breach during operational lifetime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Defence in depth across network, application, and data layers; continuous vulnerability scanning; annual red-team engagement; bug bounty programme; rehearsed incident response capability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Whistleblower channel compromise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High</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isolation of intake infrastructure; Tor service architecture; end-to-end encryption with intake team’s key; protected investigator team separated from main platform operators</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Consumer institution non-cooperation or delayed readiness</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Integration contracts negotiated in Phase 3 with named timelines and institutional owners; launch with partial integration set permitted if necessary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 API service disruption or model deprecation</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Three-tier discipline with in-tier fallback (Sonnet as Opus fallback); cross-tier fallback to sovereign infrastructure for catastrophic disruption; sovereign tier sized to absorb temporary unavailability</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Technology obsolescence over operational lifetime</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 (long-term)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Architectural commitment to layer-by-layer replaceability; quarterly Architecture Review Board; planned model upgrades; documented technology roadmap</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Cost overrun beyond contingency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10–12% contingency reserve in build budget; quarterly budget review with consortium-board reporting; scope-control discipline through change-request review</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Funder coordination breakdown during build</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Funder Coordination Group convened quarterly with rotating chair; multi-mandate platform satisfying each funder’s priority simultaneously; pre-agreed dispute-resolution protocol</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Key technical staff departure during build</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Medium</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architecture and operations through ADRs and runbooks; code-base discipline through review and clarity standards; cross-training across engineering team; open-source non-sensitive components broadening contributor pool</w:t>
            </w:r>
          </w:p>
        </w:tc>
      </w:tr>
      <w:tr>
        <w:tc>
          <w:tcPr>
            <w:tcW w:type="dxa" w:w="30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Geopolitical event affecting AWS Bedrock Cape Town region availability</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Low–Medium</w:t>
            </w:r>
          </w:p>
        </w:tc>
        <w:tc>
          <w:tcPr>
            <w:tcW w:type="dxa" w:w="1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Low</w:t>
            </w:r>
          </w:p>
        </w:tc>
        <w:tc>
          <w:tcPr>
            <w:tcW w:type="dxa" w:w="36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In-tier fallback to alternative Bedrock regions; cross-tier fallback to sovereign infrastructure; sovereign tier sized for surge capacity</w:t>
            </w:r>
          </w:p>
        </w:tc>
      </w:tr>
    </w:tbl>
    <w:p>
      <w:pPr>
        <w:pStyle w:val="Heading1"/>
        <w:pageBreakBefore/>
        <w:spacing w:after="240" w:before="480"/>
      </w:pPr>
      <w:r>
        <w:rPr>
          <w:rFonts w:ascii="Arial" w:cs="Arial" w:eastAsia="Arial" w:hAnsi="Arial"/>
          <w:b/>
          <w:bCs/>
          <w:color w:val="1A1A1A"/>
          <w:sz w:val="36"/>
          <w:szCs w:val="36"/>
        </w:rPr>
        <w:t xml:space="preserve">Results Framework</w:t>
      </w:r>
    </w:p>
    <w:p>
      <w:pPr>
        <w:pStyle w:val="Heading2"/>
        <w:spacing w:after="160" w:before="320"/>
      </w:pPr>
      <w:r>
        <w:rPr>
          <w:rFonts w:ascii="Arial" w:cs="Arial" w:eastAsia="Arial" w:hAnsi="Arial"/>
          <w:b/>
          <w:bCs/>
          <w:color w:val="1A1A1A"/>
          <w:sz w:val="28"/>
          <w:szCs w:val="28"/>
        </w:rPr>
        <w:t xml:space="preserve">Project development objective indicators</w:t>
      </w:r>
    </w:p>
    <w:p>
      <w:pPr>
        <w:spacing w:after="140" w:line="320"/>
        <w:jc w:val="both"/>
      </w:pPr>
      <w:r>
        <w:rPr>
          <w:rFonts w:ascii="Arial" w:cs="Arial" w:eastAsia="Arial" w:hAnsi="Arial"/>
          <w:b w:val="false"/>
          <w:bCs w:val="false"/>
          <w:i w:val="false"/>
          <w:iCs w:val="false"/>
          <w:color w:val="2C2C2A"/>
          <w:sz w:val="22"/>
          <w:szCs w:val="22"/>
        </w:rPr>
        <w:t xml:space="preserve">Three PDO-level indicators track the project against its overall objective. Each indicator carries a quantitative target and a verification source. The PDO-level indicators are reported quarterly to the Funder Coordination Group and annually to the National Assembly’s relevant committee.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Percentage of active legal entities with a verified beneficial ownership declaration accepted by the platform</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 (platform not yet operational)</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85% of active legal entities by end of month 24; 95% by end of year 3 of operation</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records cross-referenced with CFCE active-entity register</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Number of consumer institutions with the platform integrated into core workflow</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 of 8 by end of month 24</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Operational integration confirmation per consumer institution; service-level objective compliance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contribution to grey-list exit (qualitative, with measurable proxies)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Cameroon on FATF grey list since June 2023</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substantive contribution to all four remaining FATF action items, with grey-list exit by end of year 3 of operation</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FATF and GABAC Plenary documentation; Cameroonian government Plenary submissions; independent assessment</w:t>
            </w:r>
          </w:p>
        </w:tc>
      </w:tr>
    </w:tbl>
    <w:p>
      <w:pPr>
        <w:pStyle w:val="Heading2"/>
        <w:spacing w:after="160" w:before="320"/>
      </w:pPr>
      <w:r>
        <w:rPr>
          <w:rFonts w:ascii="Arial" w:cs="Arial" w:eastAsia="Arial" w:hAnsi="Arial"/>
          <w:b/>
          <w:bCs/>
          <w:color w:val="1A1A1A"/>
          <w:sz w:val="28"/>
          <w:szCs w:val="28"/>
        </w:rPr>
        <w:t xml:space="preserve">Outcome 1 indicators — Mandatory and verified beneficial ownership disclosure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Percentage of new legal-entity registrations through CFCE with beneficial ownership declaration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Partial under 2022 AML/CFT law amendment</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 from month 18 onwards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CFCE registration records; platform Declaration Service records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Percentage of declarations cryptographically attested by declarant identity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 from launch</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records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Average time from declaration submission to verification outcome (green/yellow/red lane)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&lt; 30 seconds p99 for green-lane outcomes; &lt; 5 business days for yellow-lane analyst review</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Number of declarations submitted per year</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Negligible under partial existing mechanism</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50,000–100,000 new declarations per year in steady state</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records</w:t>
            </w:r>
          </w:p>
        </w:tc>
      </w:tr>
    </w:tbl>
    <w:p>
      <w:pPr>
        <w:pStyle w:val="Heading2"/>
        <w:spacing w:after="160" w:before="320"/>
      </w:pPr>
      <w:r>
        <w:rPr>
          <w:rFonts w:ascii="Arial" w:cs="Arial" w:eastAsia="Arial" w:hAnsi="Arial"/>
          <w:b/>
          <w:bCs/>
          <w:color w:val="1A1A1A"/>
          <w:sz w:val="28"/>
          <w:szCs w:val="28"/>
        </w:rPr>
        <w:t xml:space="preserve">Outcome 2 indicators — Sovereign verification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precision on confirmed-positive sample (true positive rate)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measurable today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0.85 against quarterly independent inference audit</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Quarterly inference audit by independent reviewer</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Verification engine recall on confirmed-front cases (capture rate for known fronts)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measurable today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0.70 in year 1 of operation; ≥ 0.85 by year 3 as supervised classifier matures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Quarterly inference audit; ANIF and CONAC confirmed-finding feedback</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Anthropic-primary AI inference share of verification engine workload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85% of inference workload routed to Anthropic models in steady state</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Inference API gateway telemetry</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Pattern-detection signatures operational</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 8 signature classes operational by end of month 18; supervised classifier (signature 7) trained and in production by end of month 21</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operational documentation</w:t>
            </w:r>
          </w:p>
        </w:tc>
      </w:tr>
    </w:tbl>
    <w:p>
      <w:pPr>
        <w:pStyle w:val="Heading2"/>
        <w:spacing w:after="160" w:before="320"/>
      </w:pPr>
      <w:r>
        <w:rPr>
          <w:rFonts w:ascii="Arial" w:cs="Arial" w:eastAsia="Arial" w:hAnsi="Arial"/>
          <w:b/>
          <w:bCs/>
          <w:color w:val="1A1A1A"/>
          <w:sz w:val="28"/>
          <w:szCs w:val="28"/>
        </w:rPr>
        <w:t xml:space="preserve">Outcome 3 indicators — Institutional consumer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ARMP webhook calls processed within SLO (2-second p99)</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99.9% of webhook calls within SLO</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ARMP integration audit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goAML STRs with platform enrichment</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 of STRs enriched from month 12 of integration onwards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ANIF integration audit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DGI transfer-pricing risk signals delivered per month</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200 signals per month in steady state</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DGI audit case records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BEAC banking sector adoption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All Cameroonian commercial banks onboarded to the KYC API by end of month 24</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BEAC supervisory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Customs sanctions screening hit rate on import-export declarations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measurable today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Baseline established in pilot; trend monitored for ramp</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customs administration reports</w:t>
            </w:r>
          </w:p>
        </w:tc>
      </w:tr>
    </w:tbl>
    <w:p>
      <w:pPr>
        <w:pStyle w:val="Heading2"/>
        <w:spacing w:after="160" w:before="320"/>
      </w:pPr>
      <w:r>
        <w:rPr>
          <w:rFonts w:ascii="Arial" w:cs="Arial" w:eastAsia="Arial" w:hAnsi="Arial"/>
          <w:b/>
          <w:bCs/>
          <w:color w:val="1A1A1A"/>
          <w:sz w:val="28"/>
          <w:szCs w:val="28"/>
        </w:rPr>
        <w:t xml:space="preserve">Outcome 4 indicators — Public transparency and international interoperability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Public-tier queries per month</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10,000 per month by month 24; ≥ 50,000 per month by year 2 of operation</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BODS-compliant export operational and consumed by Open Ownership</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Yes, from month 19</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Open Ownership consumption confirmation; platform export logs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Civil society and journalist engagements with the platform per quarter</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Tracked quarterly; baseline established in first year of operation</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consortium communications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Public-tier records concerning extractive concession holders (EITI-aligned)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currently published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100% of mining, forestry, and hydrocarbons concession holders by month 24</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records cross-referenced with sectoral cadastre records</w:t>
            </w:r>
          </w:p>
        </w:tc>
      </w:tr>
    </w:tbl>
    <w:p>
      <w:pPr>
        <w:pStyle w:val="Heading2"/>
        <w:spacing w:after="160" w:before="320"/>
      </w:pPr>
      <w:r>
        <w:rPr>
          <w:rFonts w:ascii="Arial" w:cs="Arial" w:eastAsia="Arial" w:hAnsi="Arial"/>
          <w:b/>
          <w:bCs/>
          <w:color w:val="1A1A1A"/>
          <w:sz w:val="28"/>
          <w:szCs w:val="28"/>
        </w:rPr>
        <w:t xml:space="preserve">Outcome 5 indicators — AML/CFT operational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contribution to FATF Action Item 1 (DNFBP supervision)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Limited current capacity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contribution through verified beneficial-ownership data accessible to DNFBP supervisors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Cameroonian government Plenary submissions; FATF Joint Group assessments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contribution to FATF Action Item 2 (FIU dissemination)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operational but data-starved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contribution through real-time platform enrichment of goAML STR analysis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ANIF operational reports; UNODC technical assistance assessments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contribution to FATF Action Item 3 (seizure and confiscation)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Limited current capacity</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contribution through ownership-graph identification of natural-person principals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Judicial-authority case reports; TCS records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Substantive contribution to FATF Action Item 4 (TF/PF targeted sanctions)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Limited operational enforcement</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Documented contribution through customs and banking sanctions-screening integration</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Customs administration reports; BEAC supervisory reports</w:t>
            </w:r>
          </w:p>
        </w:tc>
      </w:tr>
    </w:tbl>
    <w:p>
      <w:pPr>
        <w:pStyle w:val="Heading2"/>
        <w:spacing w:after="160" w:before="320"/>
      </w:pPr>
      <w:r>
        <w:rPr>
          <w:rFonts w:ascii="Arial" w:cs="Arial" w:eastAsia="Arial" w:hAnsi="Arial"/>
          <w:b/>
          <w:bCs/>
          <w:color w:val="1A1A1A"/>
          <w:sz w:val="28"/>
          <w:szCs w:val="28"/>
        </w:rPr>
        <w:t xml:space="preserve">Cross-cutting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c>
          <w:tcPr>
            <w:tcW w:type="dxa" w:w="36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Indicator</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Baseline</w:t>
            </w:r>
          </w:p>
        </w:tc>
        <w:tc>
          <w:tcPr>
            <w:tcW w:type="dxa" w:w="15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Target (end of project)</w:t>
            </w:r>
          </w:p>
        </w:tc>
        <w:tc>
          <w:tcPr>
            <w:tcW w:type="dxa" w:w="24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Verification source</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availability across read SLOs</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 99.95% monthly</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Platform telemetry; consortium operational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External audit attestations achieved</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None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ISO 27001 by year 2 of operation; SOC 2 Type II by year 3</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Certification body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Financial sustainability transition (share of operating cost borne by state allocation)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Project funded; ≥ 50% by year 3; 100% by year 5</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Consortium annual financial reports</w:t>
            </w:r>
          </w:p>
        </w:tc>
      </w:tr>
      <w:tr>
        <w:tc>
          <w:tcPr>
            <w:tcW w:type="dxa" w:w="36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Civil society seat held by designated organisation</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Not applicable</w:t>
            </w:r>
          </w:p>
        </w:tc>
        <w:tc>
          <w:tcPr>
            <w:tcW w:type="dxa" w:w="15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Yes, throughout project lifetime; non-renewable 3-year terms</w:t>
            </w:r>
          </w:p>
        </w:tc>
        <w:tc>
          <w:tcPr>
            <w:tcW w:type="dxa" w:w="24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Consortium charter records</w:t>
            </w:r>
          </w:p>
        </w:tc>
      </w:tr>
    </w:tbl>
    <w:p>
      <w:pPr>
        <w:pStyle w:val="Heading1"/>
        <w:pageBreakBefore/>
        <w:spacing w:after="240" w:before="480"/>
      </w:pPr>
      <w:r>
        <w:rPr>
          <w:rFonts w:ascii="Arial" w:cs="Arial" w:eastAsia="Arial" w:hAnsi="Arial"/>
          <w:b/>
          <w:bCs/>
          <w:color w:val="1A1A1A"/>
          <w:sz w:val="36"/>
          <w:szCs w:val="36"/>
        </w:rPr>
        <w:t xml:space="preserve">Alignment with National and International Frameworks</w:t>
      </w:r>
    </w:p>
    <w:p>
      <w:pPr>
        <w:pStyle w:val="Heading2"/>
        <w:spacing w:after="160" w:before="320"/>
      </w:pPr>
      <w:r>
        <w:rPr>
          <w:rFonts w:ascii="Arial" w:cs="Arial" w:eastAsia="Arial" w:hAnsi="Arial"/>
          <w:b/>
          <w:bCs/>
          <w:color w:val="1A1A1A"/>
          <w:sz w:val="28"/>
          <w:szCs w:val="28"/>
        </w:rPr>
        <w:t xml:space="preserve">National framework alignment</w:t>
      </w:r>
    </w:p>
    <w:p>
      <w:pPr>
        <w:pStyle w:val="Heading3"/>
        <w:spacing w:after="120" w:before="240"/>
      </w:pPr>
      <w:r>
        <w:rPr>
          <w:rFonts w:ascii="Arial" w:cs="Arial" w:eastAsia="Arial" w:hAnsi="Arial"/>
          <w:b/>
          <w:bCs/>
          <w:color w:val="1A1A1A"/>
          <w:sz w:val="24"/>
          <w:szCs w:val="24"/>
        </w:rPr>
        <w:t xml:space="preserve">Cameroon SND30 — Stratégie Nationale de Développement 2020–2030</w:t>
      </w:r>
    </w:p>
    <w:p>
      <w:pPr>
        <w:spacing w:after="140" w:line="320"/>
        <w:jc w:val="both"/>
      </w:pPr>
      <w:r>
        <w:rPr>
          <w:rFonts w:ascii="Arial" w:cs="Arial" w:eastAsia="Arial" w:hAnsi="Arial"/>
          <w:b w:val="false"/>
          <w:bCs w:val="false"/>
          <w:i w:val="false"/>
          <w:iCs w:val="false"/>
          <w:color w:val="2C2C2A"/>
          <w:sz w:val="22"/>
          <w:szCs w:val="22"/>
        </w:rPr>
        <w:t xml:space="preserve">RÉCOR is directly aligned with Pillar 4 of the SND30 (Governance, Decentralisation, and State Management), which identifies the modernisation of public financial governance, the strengthening of anti-corruption institutions, and the improvement of public-sector integrity as priority axes for the decade. The platform contributes operationally to three named sub-axes of Pillar 4: the modernisation of public expenditure management (through the ARMP integration that surfaces procurement conflicts of interest at the bid stage); the strengthening of the financial information ecosystem (through the ANIF, BEAC, DGI, and CONAC integrations that operationalise beneficial-ownership transparency across the financial-information value chain); and the operationalisation of anti-corruption institutional capacity (through the CONAC integration that mechanically cross-references public-official asset declarations against verified beneficial ownership).</w:t>
      </w:r>
    </w:p>
    <w:p>
      <w:pPr>
        <w:spacing w:after="140" w:line="320"/>
        <w:jc w:val="both"/>
      </w:pPr>
      <w:r>
        <w:rPr>
          <w:rFonts w:ascii="Arial" w:cs="Arial" w:eastAsia="Arial" w:hAnsi="Arial"/>
          <w:b w:val="false"/>
          <w:bCs w:val="false"/>
          <w:i w:val="false"/>
          <w:iCs w:val="false"/>
          <w:color w:val="2C2C2A"/>
          <w:sz w:val="22"/>
          <w:szCs w:val="22"/>
        </w:rPr>
        <w:t xml:space="preserve">The platform also contributes to Pillar 1 of the SND30 (Structural Transformation of the Economy) through the domestic revenue mobilisation enabled by DGI’s transfer-pricing detection capacity, and to the rule-of-law axis of Pillar 4 through the operationalisation of seizure-and-confiscation against beneficial-owner-identifiable proceeds of crime.</w:t>
      </w:r>
    </w:p>
    <w:p>
      <w:pPr>
        <w:pStyle w:val="Heading3"/>
        <w:spacing w:after="120" w:before="240"/>
      </w:pPr>
      <w:r>
        <w:rPr>
          <w:rFonts w:ascii="Arial" w:cs="Arial" w:eastAsia="Arial" w:hAnsi="Arial"/>
          <w:b/>
          <w:bCs/>
          <w:color w:val="1A1A1A"/>
          <w:sz w:val="24"/>
          <w:szCs w:val="24"/>
        </w:rPr>
        <w:t xml:space="preserve">National AML/CFT framework</w:t>
      </w:r>
    </w:p>
    <w:p>
      <w:pPr>
        <w:spacing w:after="140" w:line="320"/>
        <w:jc w:val="both"/>
      </w:pPr>
      <w:r>
        <w:rPr>
          <w:rFonts w:ascii="Arial" w:cs="Arial" w:eastAsia="Arial" w:hAnsi="Arial"/>
          <w:b w:val="false"/>
          <w:bCs w:val="false"/>
          <w:i w:val="false"/>
          <w:iCs w:val="false"/>
          <w:color w:val="2C2C2A"/>
          <w:sz w:val="22"/>
          <w:szCs w:val="22"/>
        </w:rPr>
        <w:t xml:space="preserve">The platform is operationally aligned with Cameroon’s Law on the prevention and fight against money laundering and the financing of terrorism (Loi 2017/006, as amended in 2022), which establishes the legal basis for beneficial ownership disclosure that the platform operationalises at scale. The platform’s legal-framework component delivers the consequential amendments to this law and to the OHADA Uniform Act transposition required to give the platform full operational mandate.</w:t>
      </w:r>
    </w:p>
    <w:p>
      <w:pPr>
        <w:pStyle w:val="Heading2"/>
        <w:spacing w:after="160" w:before="320"/>
      </w:pPr>
      <w:r>
        <w:rPr>
          <w:rFonts w:ascii="Arial" w:cs="Arial" w:eastAsia="Arial" w:hAnsi="Arial"/>
          <w:b/>
          <w:bCs/>
          <w:color w:val="1A1A1A"/>
          <w:sz w:val="28"/>
          <w:szCs w:val="28"/>
        </w:rPr>
        <w:t xml:space="preserve">International framework alignment</w:t>
      </w:r>
    </w:p>
    <w:p>
      <w:pPr>
        <w:pStyle w:val="Heading3"/>
        <w:spacing w:after="120" w:before="240"/>
      </w:pPr>
      <w:r>
        <w:rPr>
          <w:rFonts w:ascii="Arial" w:cs="Arial" w:eastAsia="Arial" w:hAnsi="Arial"/>
          <w:b/>
          <w:bCs/>
          <w:color w:val="1A1A1A"/>
          <w:sz w:val="24"/>
          <w:szCs w:val="24"/>
        </w:rPr>
        <w:t xml:space="preserve">FATF Recommendation 24 and Recommendation 25</w:t>
      </w:r>
    </w:p>
    <w:p>
      <w:pPr>
        <w:spacing w:after="140" w:line="320"/>
        <w:jc w:val="both"/>
      </w:pPr>
      <w:r>
        <w:rPr>
          <w:rFonts w:ascii="Arial" w:cs="Arial" w:eastAsia="Arial" w:hAnsi="Arial"/>
          <w:b w:val="false"/>
          <w:bCs w:val="false"/>
          <w:i w:val="false"/>
          <w:iCs w:val="false"/>
          <w:color w:val="2C2C2A"/>
          <w:sz w:val="22"/>
          <w:szCs w:val="22"/>
        </w:rPr>
        <w:t xml:space="preserve">RÉCOR is directly aligned with FATF Recommendation 24 (Transparency and beneficial ownership of legal persons) and Recommendation 25 (Transparency and beneficial ownership of legal arrangements), which set the international standard on beneficial ownership transparency that the platform instantiates at national scale. The platform meets the substantive requirements articulated in the FATF interpretive notes including: adequate, accurate, and up-to-date information on beneficial ownership; multi-pronged approach to obtaining beneficial ownership information; access mechanisms for competent authorities; and risk-based proportionate measures for legal arrangements.</w:t>
      </w:r>
    </w:p>
    <w:p>
      <w:pPr>
        <w:pStyle w:val="Heading3"/>
        <w:spacing w:after="120" w:before="240"/>
      </w:pPr>
      <w:r>
        <w:rPr>
          <w:rFonts w:ascii="Arial" w:cs="Arial" w:eastAsia="Arial" w:hAnsi="Arial"/>
          <w:b/>
          <w:bCs/>
          <w:color w:val="1A1A1A"/>
          <w:sz w:val="24"/>
          <w:szCs w:val="24"/>
        </w:rPr>
        <w:t xml:space="preserve">FATF Mutual Evaluation Methodology</w:t>
      </w:r>
    </w:p>
    <w:p>
      <w:pPr>
        <w:spacing w:after="140" w:line="320"/>
        <w:jc w:val="both"/>
      </w:pPr>
      <w:r>
        <w:rPr>
          <w:rFonts w:ascii="Arial" w:cs="Arial" w:eastAsia="Arial" w:hAnsi="Arial"/>
          <w:b w:val="false"/>
          <w:bCs w:val="false"/>
          <w:i w:val="false"/>
          <w:iCs w:val="false"/>
          <w:color w:val="2C2C2A"/>
          <w:sz w:val="22"/>
          <w:szCs w:val="22"/>
        </w:rPr>
        <w:t xml:space="preserve">The platform supports operational delivery against the FATF Mutual Evaluation Methodology on the four remaining Cameroonian action items: Immediate Outcome 3 (DNFBP supervision), Immediate Outcome 6 (financial intelligence and information used by competent authorities), Immediate Outcome 8 (proceeds and instrumentalities of crime confiscated), and Immediate Outcomes 10 and 11 (terrorism and proliferation financing targeted sanctions). The platform’s contribution to each Immediate Outcome is documented operationally through the consumer integrations and is reflected in the results framework.</w:t>
      </w:r>
    </w:p>
    <w:p>
      <w:pPr>
        <w:pStyle w:val="Heading3"/>
        <w:spacing w:after="120" w:before="240"/>
      </w:pPr>
      <w:r>
        <w:rPr>
          <w:rFonts w:ascii="Arial" w:cs="Arial" w:eastAsia="Arial" w:hAnsi="Arial"/>
          <w:b/>
          <w:bCs/>
          <w:color w:val="1A1A1A"/>
          <w:sz w:val="24"/>
          <w:szCs w:val="24"/>
        </w:rPr>
        <w:t xml:space="preserve">United Nations Sustainable Development Goals</w:t>
      </w:r>
    </w:p>
    <w:p>
      <w:pPr>
        <w:spacing w:after="140" w:line="320"/>
        <w:jc w:val="both"/>
      </w:pPr>
      <w:r>
        <w:rPr>
          <w:rFonts w:ascii="Arial" w:cs="Arial" w:eastAsia="Arial" w:hAnsi="Arial"/>
          <w:b w:val="false"/>
          <w:bCs w:val="false"/>
          <w:i w:val="false"/>
          <w:iCs w:val="false"/>
          <w:color w:val="2C2C2A"/>
          <w:sz w:val="22"/>
          <w:szCs w:val="22"/>
        </w:rPr>
        <w:t xml:space="preserve">RÉCOR is directly aligned with SDG 16 (Peace, Justice, and Strong Institutions). The platform contributes operationally to four SDG 16 targets: 16.4 (significant reduction of illicit financial flows by 2030), 16.5 (substantial reduction of corruption and bribery), 16.6 (effective, accountable, and transparent institutions), and 16.10 (public access to information). The platform also contributes indirectly to SDG 17 (Partnerships for the Goals) through the multi-stakeholder funder consortium and through the international interoperability via BODS export.</w:t>
      </w:r>
    </w:p>
    <w:p>
      <w:pPr>
        <w:pStyle w:val="Heading3"/>
        <w:spacing w:after="120" w:before="240"/>
      </w:pPr>
      <w:r>
        <w:rPr>
          <w:rFonts w:ascii="Arial" w:cs="Arial" w:eastAsia="Arial" w:hAnsi="Arial"/>
          <w:b/>
          <w:bCs/>
          <w:color w:val="1A1A1A"/>
          <w:sz w:val="24"/>
          <w:szCs w:val="24"/>
        </w:rPr>
        <w:t xml:space="preserve">African Union Agenda 2063 and the Mbeki Panel</w:t>
      </w:r>
    </w:p>
    <w:p>
      <w:pPr>
        <w:spacing w:after="140" w:line="320"/>
        <w:jc w:val="both"/>
      </w:pPr>
      <w:r>
        <w:rPr>
          <w:rFonts w:ascii="Arial" w:cs="Arial" w:eastAsia="Arial" w:hAnsi="Arial"/>
          <w:b w:val="false"/>
          <w:bCs w:val="false"/>
          <w:i w:val="false"/>
          <w:iCs w:val="false"/>
          <w:color w:val="2C2C2A"/>
          <w:sz w:val="22"/>
          <w:szCs w:val="22"/>
        </w:rPr>
        <w:t xml:space="preserve">The platform is aligned with the African Union Agenda 2063 priority on illicit financial flows from Africa, articulated through the High-Level Panel on Illicit Financial Flows from Africa (the Mbeki Panel) and subsequent African Union policy frameworks. The platform operates the kind of national infrastructure that the Mbeki Panel identified as a prerequisite for substantive reduction in African illicit financial flows.</w:t>
      </w:r>
    </w:p>
    <w:p>
      <w:pPr>
        <w:pStyle w:val="Heading3"/>
        <w:spacing w:after="120" w:before="240"/>
      </w:pPr>
      <w:r>
        <w:rPr>
          <w:rFonts w:ascii="Arial" w:cs="Arial" w:eastAsia="Arial" w:hAnsi="Arial"/>
          <w:b/>
          <w:bCs/>
          <w:color w:val="1A1A1A"/>
          <w:sz w:val="24"/>
          <w:szCs w:val="24"/>
        </w:rPr>
        <w:t xml:space="preserve">Extractive Industries Transparency Initiative</w:t>
      </w:r>
    </w:p>
    <w:p>
      <w:pPr>
        <w:spacing w:after="140" w:line="320"/>
        <w:jc w:val="both"/>
      </w:pPr>
      <w:r>
        <w:rPr>
          <w:rFonts w:ascii="Arial" w:cs="Arial" w:eastAsia="Arial" w:hAnsi="Arial"/>
          <w:b w:val="false"/>
          <w:bCs w:val="false"/>
          <w:i w:val="false"/>
          <w:iCs w:val="false"/>
          <w:color w:val="2C2C2A"/>
          <w:sz w:val="22"/>
          <w:szCs w:val="22"/>
        </w:rPr>
        <w:t xml:space="preserve">The platform supports the EITI Standard’s requirement on disclosure of beneficial ownership of extractive concession holders. The MINMIDT, MINFOF, and SNH integration delivers this disclosure operationally for the mining, forestry, and hydrocarbons sectors, with the public-tier opening of extractive concession holder records aligning with the EITI principle of public transparency in extractive industries.</w:t>
      </w:r>
    </w:p>
    <w:p>
      <w:pPr>
        <w:pStyle w:val="Heading3"/>
        <w:spacing w:after="120" w:before="240"/>
      </w:pPr>
      <w:r>
        <w:rPr>
          <w:rFonts w:ascii="Arial" w:cs="Arial" w:eastAsia="Arial" w:hAnsi="Arial"/>
          <w:b/>
          <w:bCs/>
          <w:color w:val="1A1A1A"/>
          <w:sz w:val="24"/>
          <w:szCs w:val="24"/>
        </w:rPr>
        <w:t xml:space="preserve">World Bank, IMF, EU, and bilateral framework alignment</w:t>
      </w:r>
    </w:p>
    <w:p>
      <w:pPr>
        <w:spacing w:after="140" w:line="320"/>
        <w:jc w:val="both"/>
      </w:pPr>
      <w:r>
        <w:rPr>
          <w:rFonts w:ascii="Arial" w:cs="Arial" w:eastAsia="Arial" w:hAnsi="Arial"/>
          <w:b w:val="false"/>
          <w:bCs w:val="false"/>
          <w:i w:val="false"/>
          <w:iCs w:val="false"/>
          <w:color w:val="2C2C2A"/>
          <w:sz w:val="22"/>
          <w:szCs w:val="22"/>
        </w:rPr>
        <w:t xml:space="preserve">The platform is aligned with the active strategic frameworks of the six proposed funding partners. Specifically: the World Bank Cameroon Country Partnership Framework governance pillar and the Bank’s broader anti-corruption strategy under the Integrity Vice Presidency; the IMF Article IV consultation priorities on AML/CFT governance and domestic revenue mobilisation; the EU Multi-Annual Indicative Programme for Cameroon under the Global Europe instrument; the UNODC operational programmes on financial intelligence units and on stolen asset recovery; the GIZ Good Financial Governance regional engagement; and the FATF and GABAC institutional priorities on Cameroonian grey-list exit.</w:t>
      </w:r>
    </w:p>
    <w:p>
      <w:pPr>
        <w:pStyle w:val="Heading1"/>
        <w:pageBreakBefore/>
        <w:spacing w:after="240" w:before="480"/>
      </w:pPr>
      <w:r>
        <w:rPr>
          <w:rFonts w:ascii="Arial" w:cs="Arial" w:eastAsia="Arial" w:hAnsi="Arial"/>
          <w:b/>
          <w:bCs/>
          <w:color w:val="1A1A1A"/>
          <w:sz w:val="36"/>
          <w:szCs w:val="36"/>
        </w:rPr>
        <w:t xml:space="preserve">Next Steps and Way Forward</w:t>
      </w:r>
    </w:p>
    <w:p>
      <w:pPr>
        <w:spacing w:after="140" w:line="320"/>
        <w:jc w:val="both"/>
      </w:pPr>
      <w:r>
        <w:rPr>
          <w:rFonts w:ascii="Arial" w:cs="Arial" w:eastAsia="Arial" w:hAnsi="Arial"/>
          <w:b w:val="false"/>
          <w:bCs w:val="false"/>
          <w:i w:val="false"/>
          <w:iCs w:val="false"/>
          <w:color w:val="2C2C2A"/>
          <w:sz w:val="22"/>
          <w:szCs w:val="22"/>
        </w:rPr>
        <w:t xml:space="preserve">The concept note is the front-of-pipeline document for the project. Its purpose is to consolidate the strategic case, the technical architecture summary, the funding rationale, and the multi-funder coordination opportunity into a single artefact that funders can review against their own institutional cycles. From this concept note, the project moves through three subsequent stages.</w:t>
      </w:r>
    </w:p>
    <w:p>
      <w:pPr>
        <w:pStyle w:val="Heading2"/>
        <w:spacing w:after="160" w:before="320"/>
      </w:pPr>
      <w:r>
        <w:rPr>
          <w:rFonts w:ascii="Arial" w:cs="Arial" w:eastAsia="Arial" w:hAnsi="Arial"/>
          <w:b/>
          <w:bCs/>
          <w:color w:val="1A1A1A"/>
          <w:sz w:val="28"/>
          <w:szCs w:val="28"/>
        </w:rPr>
        <w:t xml:space="preserve">Stage 1 — Funder consultation</w:t>
      </w:r>
    </w:p>
    <w:p>
      <w:pPr>
        <w:spacing w:after="140" w:line="320"/>
        <w:jc w:val="both"/>
      </w:pPr>
      <w:r>
        <w:rPr>
          <w:rFonts w:ascii="Arial" w:cs="Arial" w:eastAsia="Arial" w:hAnsi="Arial"/>
          <w:b w:val="false"/>
          <w:bCs w:val="false"/>
          <w:i w:val="false"/>
          <w:iCs w:val="false"/>
          <w:color w:val="2C2C2A"/>
          <w:sz w:val="22"/>
          <w:szCs w:val="22"/>
        </w:rPr>
        <w:t xml:space="preserve">The Government of Cameroon, through MINFI and the Ministry of Justice as co-leads, will share this concept note with the six proposed funding partners through their established country engagement channels. Targeted consultations follow, with each funder’s technical-evaluation function engaging with the consortium’s Technical Advisory Function for component-level discussion. The Build Specification document is available to support technical assessment depth where required. Consultation expected to span three to four months from initial sharing.</w:t>
      </w:r>
    </w:p>
    <w:p>
      <w:pPr>
        <w:pStyle w:val="Heading2"/>
        <w:spacing w:after="160" w:before="320"/>
      </w:pPr>
      <w:r>
        <w:rPr>
          <w:rFonts w:ascii="Arial" w:cs="Arial" w:eastAsia="Arial" w:hAnsi="Arial"/>
          <w:b/>
          <w:bCs/>
          <w:color w:val="1A1A1A"/>
          <w:sz w:val="28"/>
          <w:szCs w:val="28"/>
        </w:rPr>
        <w:t xml:space="preserve">Stage 2 — Pledging conference and financing agreement</w:t>
      </w:r>
    </w:p>
    <w:p>
      <w:pPr>
        <w:spacing w:after="140" w:line="320"/>
        <w:jc w:val="both"/>
      </w:pPr>
      <w:r>
        <w:rPr>
          <w:rFonts w:ascii="Arial" w:cs="Arial" w:eastAsia="Arial" w:hAnsi="Arial"/>
          <w:b w:val="false"/>
          <w:bCs w:val="false"/>
          <w:i w:val="false"/>
          <w:iCs w:val="false"/>
          <w:color w:val="2C2C2A"/>
          <w:sz w:val="22"/>
          <w:szCs w:val="22"/>
        </w:rPr>
        <w:t xml:space="preserve">Following funder consultation, the Government convenes a pledging conference attended by the proposed funding partners, the consortium membership, and observers from civil society and the international AML/CFT community. The conference produces specific funder commitments against the components of the project, structured into a multi-funder financing agreement coordinated by the lead funder (proposed: World Bank) under whose procurement framework the principal procurement is conducted. The financing agreement formalises the Funder Coordination Group and the consortium governance arrangements. Pledging conference expected three to four months after concept-note consultation concludes.</w:t>
      </w:r>
    </w:p>
    <w:p>
      <w:pPr>
        <w:pStyle w:val="Heading2"/>
        <w:spacing w:after="160" w:before="320"/>
      </w:pPr>
      <w:r>
        <w:rPr>
          <w:rFonts w:ascii="Arial" w:cs="Arial" w:eastAsia="Arial" w:hAnsi="Arial"/>
          <w:b/>
          <w:bCs/>
          <w:color w:val="1A1A1A"/>
          <w:sz w:val="28"/>
          <w:szCs w:val="28"/>
        </w:rPr>
        <w:t xml:space="preserve">Stage 3 — Funding close and Phase 1 commencement</w:t>
      </w:r>
    </w:p>
    <w:p>
      <w:pPr>
        <w:spacing w:after="140" w:line="320"/>
        <w:jc w:val="both"/>
      </w:pPr>
      <w:r>
        <w:rPr>
          <w:rFonts w:ascii="Arial" w:cs="Arial" w:eastAsia="Arial" w:hAnsi="Arial"/>
          <w:b w:val="false"/>
          <w:bCs w:val="false"/>
          <w:i w:val="false"/>
          <w:iCs w:val="false"/>
          <w:color w:val="2C2C2A"/>
          <w:sz w:val="22"/>
          <w:szCs w:val="22"/>
        </w:rPr>
        <w:t xml:space="preserve">Following the financing agreement, each funder completes its own internal approval cycle: World Bank Board approval for IDA financing; IMF Executive Board approval for technical-assistance trust-fund allocations; EU Commission approval for Global Europe / NDICI allocations; UNODC programme committee approval; GIZ project committee approval. The lead funder’s approval is typically the longest-cycle and is the gating step for funding close. Phase 1 of the build commences at funding close. Funding close expected six to nine months after pledging conference.</w:t>
      </w:r>
    </w:p>
    <w:p>
      <w:pPr>
        <w:pStyle w:val="Heading2"/>
        <w:spacing w:after="160" w:before="320"/>
      </w:pPr>
      <w:r>
        <w:rPr>
          <w:rFonts w:ascii="Arial" w:cs="Arial" w:eastAsia="Arial" w:hAnsi="Arial"/>
          <w:b/>
          <w:bCs/>
          <w:color w:val="1A1A1A"/>
          <w:sz w:val="28"/>
          <w:szCs w:val="28"/>
        </w:rPr>
        <w:t xml:space="preserve">Indicative cumulative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026"/>
      </w:tblGrid>
      <w:tr>
        <w:tc>
          <w:tcPr>
            <w:tcW w:type="dxa" w:w="48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Stage</w:t>
            </w:r>
          </w:p>
        </w:tc>
        <w:tc>
          <w:tcPr>
            <w:tcW w:type="dxa" w:w="2200"/>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Indicative duration</w:t>
            </w:r>
          </w:p>
        </w:tc>
        <w:tc>
          <w:tcPr>
            <w:tcW w:type="dxa" w:w="2026"/>
            <w:tcBorders>
              <w:top w:val="single" w:color="C4C2BA" w:sz="4"/>
              <w:left w:val="single" w:color="C4C2BA" w:sz="4"/>
              <w:bottom w:val="single" w:color="C4C2BA" w:sz="4"/>
              <w:right w:val="single" w:color="C4C2BA" w:sz="4"/>
            </w:tcBorders>
            <w:shd w:fill="E6F1FB" w:val="clear"/>
            <w:tcMar>
              <w:top w:type="dxa" w:w="100"/>
              <w:left w:type="dxa" w:w="140"/>
              <w:bottom w:type="dxa" w:w="100"/>
              <w:right w:type="dxa" w:w="140"/>
            </w:tcMar>
          </w:tcPr>
          <w:p>
            <w:pPr>
              <w:spacing w:after="0" w:line="280"/>
            </w:pPr>
            <w:r>
              <w:rPr>
                <w:rFonts w:ascii="Arial" w:cs="Arial" w:eastAsia="Arial" w:hAnsi="Arial"/>
                <w:b/>
                <w:bCs/>
                <w:color w:val="1A1A1A"/>
                <w:sz w:val="20"/>
                <w:szCs w:val="20"/>
              </w:rPr>
              <w:t xml:space="preserve">Cumulative from concept-note sharing</w:t>
            </w:r>
          </w:p>
        </w:tc>
      </w:tr>
      <w:tr>
        <w:tc>
          <w:tcPr>
            <w:tcW w:type="dxa" w:w="4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Funder consultation</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3–4 months</w:t>
            </w:r>
          </w:p>
        </w:tc>
        <w:tc>
          <w:tcPr>
            <w:tcW w:type="dxa" w:w="2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0–4 months</w:t>
            </w:r>
          </w:p>
        </w:tc>
      </w:tr>
      <w:tr>
        <w:tc>
          <w:tcPr>
            <w:tcW w:type="dxa" w:w="4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Pledging conference and financing agreement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3–4 months</w:t>
            </w:r>
          </w:p>
        </w:tc>
        <w:tc>
          <w:tcPr>
            <w:tcW w:type="dxa" w:w="2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4–8 months</w:t>
            </w:r>
          </w:p>
        </w:tc>
      </w:tr>
      <w:tr>
        <w:tc>
          <w:tcPr>
            <w:tcW w:type="dxa" w:w="4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Funder internal approval cycles</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6–9 months</w:t>
            </w:r>
          </w:p>
        </w:tc>
        <w:tc>
          <w:tcPr>
            <w:tcW w:type="dxa" w:w="2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8–17 months</w:t>
            </w:r>
          </w:p>
        </w:tc>
      </w:tr>
      <w:tr>
        <w:tc>
          <w:tcPr>
            <w:tcW w:type="dxa" w:w="4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Funding close and Phase 1 commencement</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 month</w:t>
            </w:r>
          </w:p>
        </w:tc>
        <w:tc>
          <w:tcPr>
            <w:tcW w:type="dxa" w:w="2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13–18 months</w:t>
            </w:r>
          </w:p>
        </w:tc>
      </w:tr>
      <w:tr>
        <w:tc>
          <w:tcPr>
            <w:tcW w:type="dxa" w:w="48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Production launch (end of Phase 5)</w:t>
            </w:r>
          </w:p>
        </w:tc>
        <w:tc>
          <w:tcPr>
            <w:tcW w:type="dxa" w:w="2200"/>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18–24 months from funding close</w:t>
            </w:r>
          </w:p>
        </w:tc>
        <w:tc>
          <w:tcPr>
            <w:tcW w:type="dxa" w:w="2026"/>
            <w:tcBorders>
              <w:top w:val="single" w:color="C4C2BA" w:sz="4"/>
              <w:left w:val="single" w:color="C4C2BA" w:sz="4"/>
              <w:bottom w:val="single" w:color="C4C2BA" w:sz="4"/>
              <w:right w:val="single" w:color="C4C2BA" w:sz="4"/>
            </w:tcBorders>
            <w:shd w:fill="FFFFFF" w:val="clear"/>
            <w:tcMar>
              <w:top w:type="dxa" w:w="100"/>
              <w:left w:type="dxa" w:w="140"/>
              <w:bottom w:type="dxa" w:w="100"/>
              <w:right w:type="dxa" w:w="140"/>
            </w:tcMar>
          </w:tcPr>
          <w:p>
            <w:pPr>
              <w:spacing w:after="0" w:line="280"/>
            </w:pPr>
            <w:r>
              <w:rPr>
                <w:rFonts w:ascii="Arial" w:cs="Arial" w:eastAsia="Arial" w:hAnsi="Arial"/>
                <w:b w:val="false"/>
                <w:bCs w:val="false"/>
                <w:color w:val="2C2C2A"/>
                <w:sz w:val="20"/>
                <w:szCs w:val="20"/>
              </w:rPr>
              <w:t xml:space="preserve">31–42 months from concept-note sharing</w:t>
            </w:r>
          </w:p>
        </w:tc>
      </w:tr>
    </w:tbl>
    <w:p>
      <w:pPr>
        <w:spacing w:after="140" w:line="320"/>
        <w:jc w:val="both"/>
      </w:pPr>
      <w:r>
        <w:rPr>
          <w:rFonts w:ascii="Arial" w:cs="Arial" w:eastAsia="Arial" w:hAnsi="Arial"/>
          <w:b w:val="false"/>
          <w:bCs w:val="false"/>
          <w:i w:val="false"/>
          <w:iCs w:val="false"/>
          <w:color w:val="2C2C2A"/>
          <w:sz w:val="22"/>
          <w:szCs w:val="22"/>
        </w:rPr>
        <w:t xml:space="preserve">The cumulative timeline from concept-note sharing to production launch is in the range of thirty-one to forty-two months. This timeline can be compressed under specific conditions: an early lead-funder commitment that triggers parallel funder approval cycles; the use of fast-track instruments where applicable (Bank Project Preparation Advance, EU Crisis Response); or staged commencement of the legal-framework drafting and consortium establishment under preparatory funding ahead of the full funding close.</w:t>
      </w:r>
    </w:p>
    <w:p>
      <w:pPr>
        <w:pStyle w:val="Heading2"/>
        <w:spacing w:after="160" w:before="320"/>
      </w:pPr>
      <w:r>
        <w:rPr>
          <w:rFonts w:ascii="Arial" w:cs="Arial" w:eastAsia="Arial" w:hAnsi="Arial"/>
          <w:b/>
          <w:bCs/>
          <w:color w:val="1A1A1A"/>
          <w:sz w:val="28"/>
          <w:szCs w:val="28"/>
        </w:rPr>
        <w:t xml:space="preserve">Immediate next steps for the Government and the consortium</w:t>
      </w:r>
    </w:p>
    <w:p>
      <w:pPr>
        <w:spacing w:after="140" w:line="320"/>
        <w:jc w:val="both"/>
      </w:pPr>
      <w:r>
        <w:rPr>
          <w:rFonts w:ascii="Arial" w:cs="Arial" w:eastAsia="Arial" w:hAnsi="Arial"/>
          <w:b w:val="false"/>
          <w:bCs w:val="false"/>
          <w:i w:val="false"/>
          <w:iCs w:val="false"/>
          <w:color w:val="2C2C2A"/>
          <w:sz w:val="22"/>
          <w:szCs w:val="22"/>
        </w:rPr>
        <w:t xml:space="preserve">Independent of and in parallel with the funder consultation, the Government and the consortium will undertake several immediate steps to demonstrate commitment and to position the project for efficient progress:</w:t>
      </w:r>
    </w:p>
    <w:p>
      <w:pPr>
        <w:pStyle w:val="ListParagraph"/>
        <w:numPr>
          <w:ilvl w:val="0"/>
          <w:numId w:val="2"/>
        </w:numPr>
        <w:spacing w:after="80" w:line="300"/>
      </w:pPr>
      <w:r>
        <w:rPr>
          <w:rFonts w:ascii="Arial" w:cs="Arial" w:eastAsia="Arial" w:hAnsi="Arial"/>
          <w:color w:val="2C2C2A"/>
          <w:sz w:val="22"/>
          <w:szCs w:val="22"/>
        </w:rPr>
        <w:t xml:space="preserve">Formal consortium charter signature by the eight state member institutions, with public announcement of the consortium’s establishment.</w:t>
      </w:r>
    </w:p>
    <w:p>
      <w:pPr>
        <w:pStyle w:val="ListParagraph"/>
        <w:numPr>
          <w:ilvl w:val="0"/>
          <w:numId w:val="2"/>
        </w:numPr>
        <w:spacing w:after="80" w:line="300"/>
      </w:pPr>
      <w:r>
        <w:rPr>
          <w:rFonts w:ascii="Arial" w:cs="Arial" w:eastAsia="Arial" w:hAnsi="Arial"/>
          <w:color w:val="2C2C2A"/>
          <w:sz w:val="22"/>
          <w:szCs w:val="22"/>
        </w:rPr>
        <w:t xml:space="preserve">Initiation of the civil society seat selection process through the structured panel arrangement.</w:t>
      </w:r>
    </w:p>
    <w:p>
      <w:pPr>
        <w:pStyle w:val="ListParagraph"/>
        <w:numPr>
          <w:ilvl w:val="0"/>
          <w:numId w:val="2"/>
        </w:numPr>
        <w:spacing w:after="80" w:line="300"/>
      </w:pPr>
      <w:r>
        <w:rPr>
          <w:rFonts w:ascii="Arial" w:cs="Arial" w:eastAsia="Arial" w:hAnsi="Arial"/>
          <w:color w:val="2C2C2A"/>
          <w:sz w:val="22"/>
          <w:szCs w:val="22"/>
        </w:rPr>
        <w:t xml:space="preserve">Engagement with Open Ownership, Transparency International, and the GABAC Secretariat regarding the international observer seat rotation.</w:t>
      </w:r>
    </w:p>
    <w:p>
      <w:pPr>
        <w:pStyle w:val="ListParagraph"/>
        <w:numPr>
          <w:ilvl w:val="0"/>
          <w:numId w:val="2"/>
        </w:numPr>
        <w:spacing w:after="80" w:line="300"/>
      </w:pPr>
      <w:r>
        <w:rPr>
          <w:rFonts w:ascii="Arial" w:cs="Arial" w:eastAsia="Arial" w:hAnsi="Arial"/>
          <w:color w:val="2C2C2A"/>
          <w:sz w:val="22"/>
          <w:szCs w:val="22"/>
        </w:rPr>
        <w:t xml:space="preserve">Preliminary parliamentary engagement on the legal framework with the relevant National Assembly committees, signalling intent and seeking informal support.</w:t>
      </w:r>
    </w:p>
    <w:p>
      <w:pPr>
        <w:pStyle w:val="ListParagraph"/>
        <w:numPr>
          <w:ilvl w:val="0"/>
          <w:numId w:val="2"/>
        </w:numPr>
        <w:spacing w:after="80" w:line="300"/>
      </w:pPr>
      <w:r>
        <w:rPr>
          <w:rFonts w:ascii="Arial" w:cs="Arial" w:eastAsia="Arial" w:hAnsi="Arial"/>
          <w:color w:val="2C2C2A"/>
          <w:sz w:val="22"/>
          <w:szCs w:val="22"/>
        </w:rPr>
        <w:t xml:space="preserve">Designation of the Project Management Unit lead personnel from within the existing capacity of MINFI and the Ministry of Justice.</w:t>
      </w:r>
    </w:p>
    <w:p>
      <w:pPr>
        <w:pStyle w:val="ListParagraph"/>
        <w:numPr>
          <w:ilvl w:val="0"/>
          <w:numId w:val="2"/>
        </w:numPr>
        <w:spacing w:after="80" w:line="300"/>
      </w:pPr>
      <w:r>
        <w:rPr>
          <w:rFonts w:ascii="Arial" w:cs="Arial" w:eastAsia="Arial" w:hAnsi="Arial"/>
          <w:color w:val="2C2C2A"/>
          <w:sz w:val="22"/>
          <w:szCs w:val="22"/>
        </w:rPr>
        <w:t xml:space="preserve">Publication of this concept note in a controlled manner appropriate to ongoing funder consultation, with the Build Specification document available to interested technical assessors under appropriate confidentiality arrangements.</w:t>
      </w:r>
    </w:p>
    <w:p>
      <w:pPr>
        <w:pStyle w:val="Heading2"/>
        <w:spacing w:after="160" w:before="320"/>
      </w:pPr>
      <w:r>
        <w:rPr>
          <w:rFonts w:ascii="Arial" w:cs="Arial" w:eastAsia="Arial" w:hAnsi="Arial"/>
          <w:b/>
          <w:bCs/>
          <w:color w:val="1A1A1A"/>
          <w:sz w:val="28"/>
          <w:szCs w:val="28"/>
        </w:rPr>
        <w:t xml:space="preserve">Closing</w:t>
      </w:r>
    </w:p>
    <w:p>
      <w:pPr>
        <w:pBdr>
          <w:left w:val="single" w:color="0C447C" w:sz="12" w:space="12"/>
        </w:pBdr>
        <w:spacing w:after="200" w:before="200" w:line="340"/>
        <w:ind w:left="720" w:right="720"/>
        <w:jc w:val="left"/>
      </w:pPr>
      <w:r>
        <w:rPr>
          <w:rFonts w:ascii="Arial" w:cs="Arial" w:eastAsia="Arial" w:hAnsi="Arial"/>
          <w:i/>
          <w:iCs/>
          <w:color w:val="0C447C"/>
          <w:sz w:val="24"/>
          <w:szCs w:val="24"/>
        </w:rPr>
        <w:t xml:space="preserve">Cameroon now has, simultaneously, the institutional incentive (the FATF grey-list cycle), the international counterparty interest (six aligned funder mandates), and the technical possibility (sovereign-grade architecture with Anthropic-primary verification reasoning operationally proven) to deliver the national beneficial ownership infrastructure that the country’s development trajectory has lacked. The convergence of these three conditions is the operational case for proceeding now. The Government and the consortium are ready to engage. The platform, fully specified, is ready to be built.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Draft for institutional funder consultation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2BA" w:sz="4" w:space="4"/>
      </w:pBdr>
      <w:jc w:val="right"/>
    </w:pPr>
    <w:r>
      <w:rPr>
        <w:rFonts w:ascii="Arial" w:cs="Arial" w:eastAsia="Arial" w:hAnsi="Arial"/>
        <w:i/>
        <w:iCs/>
        <w:color w:val="5F5E5A"/>
        <w:sz w:val="18"/>
        <w:szCs w:val="18"/>
      </w:rPr>
      <w:t xml:space="preserve">RÉCOR — Concept Note for Funder Consultation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RÉCOR — Concept Note for Funder Consultation</dc:title>
  <dc:creator>Republic of Cameroon / RÉCOR Consortium</dc:creator>
  <dc:description>National Beneficial Ownership Registry of Cameroon — concept note for institutional funder consultation, presenting the strategic case, project objectives, components, cost, financing plan, results framework, and alignment with national and international development frameworks</dc:description>
  <cp:lastModifiedBy>Un-named</cp:lastModifiedBy>
  <cp:revision>1</cp:revision>
  <dcterms:created xsi:type="dcterms:W3CDTF">2026-05-11T16:35:26.966Z</dcterms:created>
  <dcterms:modified xsi:type="dcterms:W3CDTF">2026-05-11T16:35:26.966Z</dcterms:modified>
</cp:coreProperties>
</file>

<file path=docProps/custom.xml><?xml version="1.0" encoding="utf-8"?>
<Properties xmlns="http://schemas.openxmlformats.org/officeDocument/2006/custom-properties" xmlns:vt="http://schemas.openxmlformats.org/officeDocument/2006/docPropsVTypes"/>
</file>