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988"/>
        <w:gridCol w:w="10276"/>
      </w:tblGrid>
      <w:tr w:rsidR="00834EBA" w:rsidRPr="00A2590B" w14:paraId="3162769F" w14:textId="77777777" w:rsidTr="008C4819">
        <w:tc>
          <w:tcPr>
            <w:tcW w:w="965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9E26A35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b/>
                <w:szCs w:val="21"/>
              </w:rPr>
              <w:t>Dimension</w:t>
            </w:r>
          </w:p>
        </w:tc>
        <w:tc>
          <w:tcPr>
            <w:tcW w:w="354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E11490C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b/>
                <w:szCs w:val="21"/>
              </w:rPr>
              <w:t>Score</w:t>
            </w:r>
          </w:p>
        </w:tc>
        <w:tc>
          <w:tcPr>
            <w:tcW w:w="3681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2C2A5F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b/>
                <w:szCs w:val="21"/>
              </w:rPr>
              <w:t>Criteria</w:t>
            </w:r>
          </w:p>
        </w:tc>
      </w:tr>
      <w:tr w:rsidR="00834EBA" w:rsidRPr="00A2590B" w14:paraId="213E8740" w14:textId="77777777" w:rsidTr="008C4819">
        <w:tc>
          <w:tcPr>
            <w:tcW w:w="965" w:type="pct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296D921F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  <w:r w:rsidRPr="00305BBB">
              <w:rPr>
                <w:rFonts w:ascii="Arial" w:hAnsi="Arial" w:cs="Arial"/>
                <w:bCs/>
                <w:szCs w:val="21"/>
              </w:rPr>
              <w:t>Catalytic performance</w:t>
            </w:r>
          </w:p>
        </w:tc>
        <w:tc>
          <w:tcPr>
            <w:tcW w:w="354" w:type="pct"/>
            <w:tcBorders>
              <w:top w:val="single" w:sz="4" w:space="0" w:color="auto"/>
              <w:bottom w:val="nil"/>
            </w:tcBorders>
            <w:vAlign w:val="center"/>
          </w:tcPr>
          <w:p w14:paraId="6B8B795D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9–10</w:t>
            </w:r>
          </w:p>
        </w:tc>
        <w:tc>
          <w:tcPr>
            <w:tcW w:w="3681" w:type="pct"/>
            <w:tcBorders>
              <w:top w:val="single" w:sz="4" w:space="0" w:color="auto"/>
              <w:bottom w:val="nil"/>
            </w:tcBorders>
            <w:vAlign w:val="center"/>
          </w:tcPr>
          <w:p w14:paraId="60BBD746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Strong evidence of PMS-activation capability supported by chemically plausible active sites, stable adsorption configurations, and coherent ROS-generation pathways. Mechanistic inference consistent with M.M.A. analysis and DFT descriptors (if available).</w:t>
            </w:r>
          </w:p>
        </w:tc>
      </w:tr>
      <w:tr w:rsidR="00834EBA" w:rsidRPr="00A2590B" w14:paraId="0757CB39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76D76E86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41B8076F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7–8</w:t>
            </w:r>
          </w:p>
        </w:tc>
        <w:tc>
          <w:tcPr>
            <w:tcW w:w="3681" w:type="pct"/>
            <w:tcBorders>
              <w:top w:val="nil"/>
              <w:bottom w:val="nil"/>
            </w:tcBorders>
            <w:vAlign w:val="center"/>
          </w:tcPr>
          <w:p w14:paraId="4C0217CC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Likely PMS-activation capability based on reasonable coordination environment and partial ROS-generation plausibility. Minor uncertainties may remain, but overall consistent with literature patterns.</w:t>
            </w:r>
          </w:p>
        </w:tc>
      </w:tr>
      <w:tr w:rsidR="00834EBA" w:rsidRPr="00A2590B" w14:paraId="09B9741F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4E1C0294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239BBC70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5–6</w:t>
            </w:r>
          </w:p>
        </w:tc>
        <w:tc>
          <w:tcPr>
            <w:tcW w:w="3681" w:type="pct"/>
            <w:tcBorders>
              <w:top w:val="nil"/>
              <w:bottom w:val="nil"/>
            </w:tcBorders>
            <w:vAlign w:val="center"/>
          </w:tcPr>
          <w:p w14:paraId="2898D1E8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Potential PMS activity but with limited mechanistic support. Active-site assignment uncertain, or adsorption pathways insufficiently clarified.</w:t>
            </w:r>
          </w:p>
        </w:tc>
      </w:tr>
      <w:tr w:rsidR="00834EBA" w:rsidRPr="00A2590B" w14:paraId="204615BA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2AA87DA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1CE8AEC8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3–4</w:t>
            </w:r>
          </w:p>
        </w:tc>
        <w:tc>
          <w:tcPr>
            <w:tcW w:w="3681" w:type="pct"/>
            <w:tcBorders>
              <w:top w:val="nil"/>
              <w:bottom w:val="nil"/>
            </w:tcBorders>
            <w:vAlign w:val="center"/>
          </w:tcPr>
          <w:p w14:paraId="2585FCF5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Weak mechanistic support with low confidence in PMS activation. Active sites ambiguous or inconsistent with known chemistry.</w:t>
            </w:r>
          </w:p>
        </w:tc>
      </w:tr>
      <w:tr w:rsidR="00834EBA" w:rsidRPr="00A2590B" w14:paraId="007CD6FE" w14:textId="77777777" w:rsidTr="008C4819">
        <w:tc>
          <w:tcPr>
            <w:tcW w:w="965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BBC486D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single" w:sz="4" w:space="0" w:color="auto"/>
            </w:tcBorders>
            <w:vAlign w:val="center"/>
          </w:tcPr>
          <w:p w14:paraId="41335EDB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1–2</w:t>
            </w:r>
          </w:p>
        </w:tc>
        <w:tc>
          <w:tcPr>
            <w:tcW w:w="3681" w:type="pct"/>
            <w:tcBorders>
              <w:top w:val="nil"/>
              <w:bottom w:val="single" w:sz="4" w:space="0" w:color="auto"/>
            </w:tcBorders>
            <w:vAlign w:val="center"/>
          </w:tcPr>
          <w:p w14:paraId="6ACAC88E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b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Structural or electronic features indicate that PMS activation is unlikely or chemically implausible.</w:t>
            </w:r>
          </w:p>
        </w:tc>
      </w:tr>
      <w:tr w:rsidR="00834EBA" w:rsidRPr="00A2590B" w14:paraId="08CFADB1" w14:textId="77777777" w:rsidTr="008C4819">
        <w:tc>
          <w:tcPr>
            <w:tcW w:w="965" w:type="pct"/>
            <w:vMerge w:val="restart"/>
            <w:tcBorders>
              <w:top w:val="single" w:sz="4" w:space="0" w:color="auto"/>
            </w:tcBorders>
            <w:vAlign w:val="center"/>
          </w:tcPr>
          <w:p w14:paraId="505074DC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  <w:r w:rsidRPr="00305BBB">
              <w:rPr>
                <w:rFonts w:ascii="Arial" w:hAnsi="Arial" w:cs="Arial"/>
                <w:bCs/>
                <w:szCs w:val="21"/>
              </w:rPr>
              <w:t>Economic viability</w:t>
            </w:r>
          </w:p>
        </w:tc>
        <w:tc>
          <w:tcPr>
            <w:tcW w:w="354" w:type="pct"/>
            <w:tcBorders>
              <w:top w:val="single" w:sz="4" w:space="0" w:color="auto"/>
            </w:tcBorders>
            <w:vAlign w:val="center"/>
          </w:tcPr>
          <w:p w14:paraId="39A00AAB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9–10</w:t>
            </w:r>
          </w:p>
        </w:tc>
        <w:tc>
          <w:tcPr>
            <w:tcW w:w="3681" w:type="pct"/>
            <w:tcBorders>
              <w:top w:val="single" w:sz="4" w:space="0" w:color="auto"/>
            </w:tcBorders>
          </w:tcPr>
          <w:p w14:paraId="4BC612E5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Composed entirely of low-cost, abundant elements.</w:t>
            </w:r>
          </w:p>
        </w:tc>
      </w:tr>
      <w:tr w:rsidR="00834EBA" w:rsidRPr="00A2590B" w14:paraId="3F2AE011" w14:textId="77777777" w:rsidTr="008C4819">
        <w:tc>
          <w:tcPr>
            <w:tcW w:w="965" w:type="pct"/>
            <w:vMerge/>
            <w:vAlign w:val="center"/>
          </w:tcPr>
          <w:p w14:paraId="22471241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1B940EDF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7–8</w:t>
            </w:r>
          </w:p>
        </w:tc>
        <w:tc>
          <w:tcPr>
            <w:tcW w:w="3681" w:type="pct"/>
          </w:tcPr>
          <w:p w14:paraId="1A0B50E3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Moderately priced components with acceptable cost-performance balance. No critical or scarce elements.</w:t>
            </w:r>
          </w:p>
        </w:tc>
      </w:tr>
      <w:tr w:rsidR="00834EBA" w:rsidRPr="00A2590B" w14:paraId="4DA54623" w14:textId="77777777" w:rsidTr="008C4819">
        <w:tc>
          <w:tcPr>
            <w:tcW w:w="965" w:type="pct"/>
            <w:vMerge/>
            <w:vAlign w:val="center"/>
          </w:tcPr>
          <w:p w14:paraId="6AE2D094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1A68A6E5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5–6</w:t>
            </w:r>
          </w:p>
        </w:tc>
        <w:tc>
          <w:tcPr>
            <w:tcW w:w="3681" w:type="pct"/>
          </w:tcPr>
          <w:p w14:paraId="3BD74CAC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Contains one or more moderately expensive elements or precursors that limit scalability.</w:t>
            </w:r>
          </w:p>
        </w:tc>
      </w:tr>
      <w:tr w:rsidR="00834EBA" w:rsidRPr="00A2590B" w14:paraId="5FAE28CC" w14:textId="77777777" w:rsidTr="008C4819">
        <w:tc>
          <w:tcPr>
            <w:tcW w:w="965" w:type="pct"/>
            <w:vMerge/>
            <w:vAlign w:val="center"/>
          </w:tcPr>
          <w:p w14:paraId="58809CE2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590F60B8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3–4</w:t>
            </w:r>
          </w:p>
        </w:tc>
        <w:tc>
          <w:tcPr>
            <w:tcW w:w="3681" w:type="pct"/>
          </w:tcPr>
          <w:p w14:paraId="3DFE4BC9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Includes costly or supply-sensitive elements that impact economic feasibility.</w:t>
            </w:r>
          </w:p>
        </w:tc>
      </w:tr>
      <w:tr w:rsidR="00834EBA" w:rsidRPr="00A2590B" w14:paraId="2B405437" w14:textId="77777777" w:rsidTr="008C4819">
        <w:tc>
          <w:tcPr>
            <w:tcW w:w="965" w:type="pct"/>
            <w:vMerge/>
            <w:tcBorders>
              <w:bottom w:val="single" w:sz="4" w:space="0" w:color="auto"/>
            </w:tcBorders>
            <w:vAlign w:val="center"/>
          </w:tcPr>
          <w:p w14:paraId="375FFE97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</w:tcPr>
          <w:p w14:paraId="78B6B095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1–2</w:t>
            </w:r>
          </w:p>
        </w:tc>
        <w:tc>
          <w:tcPr>
            <w:tcW w:w="3681" w:type="pct"/>
            <w:tcBorders>
              <w:bottom w:val="single" w:sz="4" w:space="0" w:color="auto"/>
            </w:tcBorders>
          </w:tcPr>
          <w:p w14:paraId="13A13A25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Contains high-cost, scarce, or resource-critical elements unsuitable for practical large-scale deployment.</w:t>
            </w:r>
          </w:p>
        </w:tc>
      </w:tr>
      <w:tr w:rsidR="00834EBA" w:rsidRPr="00A2590B" w14:paraId="0EE9EFCB" w14:textId="77777777" w:rsidTr="008C4819">
        <w:tc>
          <w:tcPr>
            <w:tcW w:w="965" w:type="pct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5DEB935A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  <w:r w:rsidRPr="00305BBB">
              <w:rPr>
                <w:rFonts w:ascii="Arial" w:hAnsi="Arial" w:cs="Arial"/>
                <w:bCs/>
                <w:szCs w:val="21"/>
              </w:rPr>
              <w:t>Environmental friendliness</w:t>
            </w:r>
          </w:p>
        </w:tc>
        <w:tc>
          <w:tcPr>
            <w:tcW w:w="354" w:type="pct"/>
            <w:tcBorders>
              <w:top w:val="single" w:sz="4" w:space="0" w:color="auto"/>
              <w:bottom w:val="nil"/>
            </w:tcBorders>
            <w:vAlign w:val="center"/>
          </w:tcPr>
          <w:p w14:paraId="3180C79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9–10</w:t>
            </w:r>
          </w:p>
        </w:tc>
        <w:tc>
          <w:tcPr>
            <w:tcW w:w="3681" w:type="pct"/>
            <w:tcBorders>
              <w:top w:val="single" w:sz="4" w:space="0" w:color="auto"/>
              <w:bottom w:val="nil"/>
            </w:tcBorders>
          </w:tcPr>
          <w:p w14:paraId="3475311D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All components exhibit low predicted toxicity and minimal ecological risk. Low likelihood of metal leaching.</w:t>
            </w:r>
          </w:p>
        </w:tc>
      </w:tr>
      <w:tr w:rsidR="00834EBA" w:rsidRPr="00A2590B" w14:paraId="2C6E6F53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3FA0F272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1C81E5FE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7–8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3E610E4D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Generally benign components with minor toxicity concerns. Leaching risk manageable under standard conditions.</w:t>
            </w:r>
          </w:p>
        </w:tc>
      </w:tr>
      <w:tr w:rsidR="00834EBA" w:rsidRPr="00A2590B" w14:paraId="5B92A9D9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23B18458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6C2ED87E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5–6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5C344046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Contains elements with moderate toxicity or potential environmental persistence, requiring mitigation strategies.</w:t>
            </w:r>
          </w:p>
        </w:tc>
      </w:tr>
      <w:tr w:rsidR="00834EBA" w:rsidRPr="00A2590B" w14:paraId="4CCF348A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248AE3AB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7F4CD7EE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3–4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4204CA3C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Significant toxicity or leaching concerns indicated by database queries.</w:t>
            </w:r>
          </w:p>
        </w:tc>
      </w:tr>
      <w:tr w:rsidR="00834EBA" w:rsidRPr="00A2590B" w14:paraId="40D9BCAE" w14:textId="77777777" w:rsidTr="008C4819">
        <w:tc>
          <w:tcPr>
            <w:tcW w:w="965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41F7CAE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single" w:sz="4" w:space="0" w:color="auto"/>
            </w:tcBorders>
            <w:vAlign w:val="center"/>
          </w:tcPr>
          <w:p w14:paraId="06FF044B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1–2</w:t>
            </w:r>
          </w:p>
        </w:tc>
        <w:tc>
          <w:tcPr>
            <w:tcW w:w="3681" w:type="pct"/>
            <w:tcBorders>
              <w:top w:val="nil"/>
              <w:bottom w:val="single" w:sz="4" w:space="0" w:color="auto"/>
            </w:tcBorders>
          </w:tcPr>
          <w:p w14:paraId="00546600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High ecological or human-health risk; severe metal-leaching or hazardous by-product concerns.</w:t>
            </w:r>
          </w:p>
        </w:tc>
      </w:tr>
      <w:tr w:rsidR="00834EBA" w:rsidRPr="00A2590B" w14:paraId="17CFCC90" w14:textId="77777777" w:rsidTr="008C4819">
        <w:tc>
          <w:tcPr>
            <w:tcW w:w="965" w:type="pct"/>
            <w:vMerge w:val="restart"/>
            <w:tcBorders>
              <w:top w:val="single" w:sz="4" w:space="0" w:color="auto"/>
            </w:tcBorders>
            <w:vAlign w:val="center"/>
          </w:tcPr>
          <w:p w14:paraId="7C283F44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  <w:r w:rsidRPr="00305BBB">
              <w:rPr>
                <w:rFonts w:ascii="Arial" w:hAnsi="Arial" w:cs="Arial"/>
                <w:bCs/>
                <w:szCs w:val="21"/>
              </w:rPr>
              <w:t>Technical feasibility</w:t>
            </w:r>
          </w:p>
        </w:tc>
        <w:tc>
          <w:tcPr>
            <w:tcW w:w="354" w:type="pct"/>
            <w:tcBorders>
              <w:top w:val="single" w:sz="4" w:space="0" w:color="auto"/>
            </w:tcBorders>
            <w:vAlign w:val="center"/>
          </w:tcPr>
          <w:p w14:paraId="2F101D0C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9–10</w:t>
            </w:r>
          </w:p>
        </w:tc>
        <w:tc>
          <w:tcPr>
            <w:tcW w:w="3681" w:type="pct"/>
            <w:tcBorders>
              <w:top w:val="single" w:sz="4" w:space="0" w:color="auto"/>
            </w:tcBorders>
          </w:tcPr>
          <w:p w14:paraId="18372D41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szCs w:val="21"/>
              </w:rPr>
              <w:t>S</w:t>
            </w:r>
            <w:r w:rsidRPr="00305BBB">
              <w:rPr>
                <w:rFonts w:ascii="Arial" w:hAnsi="Arial" w:cs="Arial"/>
                <w:szCs w:val="21"/>
              </w:rPr>
              <w:t>ynthesis pathway is highly feasible using standard laboratory procedures, with readily accessible precursors and mild reaction conditions.</w:t>
            </w:r>
          </w:p>
        </w:tc>
      </w:tr>
      <w:tr w:rsidR="00834EBA" w:rsidRPr="00A2590B" w14:paraId="7C634FA6" w14:textId="77777777" w:rsidTr="008C4819">
        <w:tc>
          <w:tcPr>
            <w:tcW w:w="965" w:type="pct"/>
            <w:vMerge/>
            <w:vAlign w:val="center"/>
          </w:tcPr>
          <w:p w14:paraId="19E781C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6169DA5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7–8</w:t>
            </w:r>
          </w:p>
        </w:tc>
        <w:tc>
          <w:tcPr>
            <w:tcW w:w="3681" w:type="pct"/>
          </w:tcPr>
          <w:p w14:paraId="34E97CBE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Synthesis appears feasible but may require moderate optimization or non-standard conditions.</w:t>
            </w:r>
          </w:p>
        </w:tc>
      </w:tr>
      <w:tr w:rsidR="00834EBA" w:rsidRPr="00A2590B" w14:paraId="577B4E1C" w14:textId="77777777" w:rsidTr="008C4819">
        <w:tc>
          <w:tcPr>
            <w:tcW w:w="965" w:type="pct"/>
            <w:vMerge/>
            <w:vAlign w:val="center"/>
          </w:tcPr>
          <w:p w14:paraId="08F39037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02F039AB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5–6</w:t>
            </w:r>
          </w:p>
        </w:tc>
        <w:tc>
          <w:tcPr>
            <w:tcW w:w="3681" w:type="pct"/>
          </w:tcPr>
          <w:p w14:paraId="54E104A0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Synthesis requires difficult-to-obtain precursors or moderately harsh conditions that reduce reproducibility.</w:t>
            </w:r>
          </w:p>
        </w:tc>
      </w:tr>
      <w:tr w:rsidR="00834EBA" w:rsidRPr="00A2590B" w14:paraId="5C579ADB" w14:textId="77777777" w:rsidTr="008C4819">
        <w:tc>
          <w:tcPr>
            <w:tcW w:w="965" w:type="pct"/>
            <w:vMerge/>
            <w:vAlign w:val="center"/>
          </w:tcPr>
          <w:p w14:paraId="30706CCD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vAlign w:val="center"/>
          </w:tcPr>
          <w:p w14:paraId="640ACC2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3–4</w:t>
            </w:r>
          </w:p>
        </w:tc>
        <w:tc>
          <w:tcPr>
            <w:tcW w:w="3681" w:type="pct"/>
          </w:tcPr>
          <w:p w14:paraId="0D46487D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Synthesis involves complex procedures, multi-step processes, or specialized equipment that limit accessibility.</w:t>
            </w:r>
          </w:p>
        </w:tc>
      </w:tr>
      <w:tr w:rsidR="00834EBA" w:rsidRPr="00A2590B" w14:paraId="36B86994" w14:textId="77777777" w:rsidTr="008C4819">
        <w:tc>
          <w:tcPr>
            <w:tcW w:w="965" w:type="pct"/>
            <w:vMerge/>
            <w:tcBorders>
              <w:bottom w:val="single" w:sz="4" w:space="0" w:color="auto"/>
            </w:tcBorders>
            <w:vAlign w:val="center"/>
          </w:tcPr>
          <w:p w14:paraId="27DCAD49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</w:tcPr>
          <w:p w14:paraId="57F0884F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1–2</w:t>
            </w:r>
          </w:p>
        </w:tc>
        <w:tc>
          <w:tcPr>
            <w:tcW w:w="3681" w:type="pct"/>
            <w:tcBorders>
              <w:bottom w:val="single" w:sz="4" w:space="0" w:color="auto"/>
            </w:tcBorders>
          </w:tcPr>
          <w:p w14:paraId="41AA20C8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Synthesis is impractical or chemically inconsistent; key steps infeasible or require unverified chemistry.</w:t>
            </w:r>
          </w:p>
        </w:tc>
      </w:tr>
      <w:tr w:rsidR="00834EBA" w:rsidRPr="00A2590B" w14:paraId="6596C478" w14:textId="77777777" w:rsidTr="008C4819">
        <w:tc>
          <w:tcPr>
            <w:tcW w:w="965" w:type="pct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5BB73332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Cs/>
                <w:szCs w:val="21"/>
              </w:rPr>
            </w:pPr>
            <w:r w:rsidRPr="00305BBB">
              <w:rPr>
                <w:rFonts w:ascii="Arial" w:hAnsi="Arial" w:cs="Arial"/>
                <w:bCs/>
                <w:szCs w:val="21"/>
              </w:rPr>
              <w:t>Structural validity</w:t>
            </w:r>
          </w:p>
        </w:tc>
        <w:tc>
          <w:tcPr>
            <w:tcW w:w="354" w:type="pct"/>
            <w:tcBorders>
              <w:top w:val="single" w:sz="4" w:space="0" w:color="auto"/>
              <w:bottom w:val="nil"/>
            </w:tcBorders>
            <w:vAlign w:val="center"/>
          </w:tcPr>
          <w:p w14:paraId="1E33FC9A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9–10</w:t>
            </w:r>
          </w:p>
        </w:tc>
        <w:tc>
          <w:tcPr>
            <w:tcW w:w="3681" w:type="pct"/>
            <w:tcBorders>
              <w:top w:val="single" w:sz="4" w:space="0" w:color="auto"/>
              <w:bottom w:val="nil"/>
            </w:tcBorders>
          </w:tcPr>
          <w:p w14:paraId="4B6E67F3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Coordination geometry, charge balance, and bonding arrangement fully consistent with established structural chemistry.</w:t>
            </w:r>
          </w:p>
        </w:tc>
      </w:tr>
      <w:tr w:rsidR="00834EBA" w:rsidRPr="00A2590B" w14:paraId="549E1C5A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63FC1EB6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5A331444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7–8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749D60F9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Structure plausible with minor uncertainties. No obvious chemical contradictions.</w:t>
            </w:r>
          </w:p>
        </w:tc>
      </w:tr>
      <w:tr w:rsidR="00834EBA" w:rsidRPr="00A2590B" w14:paraId="186A0AC0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50B2981D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6E826E31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5–6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1CCA4FF4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 xml:space="preserve">Structure moderately plausible but contains unclear or unconventional bonding features requiring further </w:t>
            </w:r>
            <w:r w:rsidRPr="00305BBB">
              <w:rPr>
                <w:rFonts w:ascii="Arial" w:hAnsi="Arial" w:cs="Arial"/>
                <w:szCs w:val="21"/>
              </w:rPr>
              <w:lastRenderedPageBreak/>
              <w:t>validation.</w:t>
            </w:r>
          </w:p>
        </w:tc>
      </w:tr>
      <w:tr w:rsidR="00834EBA" w:rsidRPr="00A2590B" w14:paraId="3CA08ADE" w14:textId="77777777" w:rsidTr="008C4819">
        <w:tc>
          <w:tcPr>
            <w:tcW w:w="965" w:type="pct"/>
            <w:vMerge/>
            <w:tcBorders>
              <w:top w:val="nil"/>
              <w:bottom w:val="nil"/>
            </w:tcBorders>
            <w:vAlign w:val="center"/>
          </w:tcPr>
          <w:p w14:paraId="372B29B0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</w:tcPr>
          <w:p w14:paraId="0DEB18C9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3–4</w:t>
            </w:r>
          </w:p>
        </w:tc>
        <w:tc>
          <w:tcPr>
            <w:tcW w:w="3681" w:type="pct"/>
            <w:tcBorders>
              <w:top w:val="nil"/>
              <w:bottom w:val="nil"/>
            </w:tcBorders>
          </w:tcPr>
          <w:p w14:paraId="0F229450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Questionable structural coherence; coordination geometry inconsistent or charge balance problematic.</w:t>
            </w:r>
          </w:p>
        </w:tc>
      </w:tr>
      <w:tr w:rsidR="00834EBA" w:rsidRPr="00A2590B" w14:paraId="2BB48D32" w14:textId="77777777" w:rsidTr="008C4819">
        <w:tc>
          <w:tcPr>
            <w:tcW w:w="965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75FC3D43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b/>
                <w:szCs w:val="21"/>
              </w:rPr>
            </w:pPr>
          </w:p>
        </w:tc>
        <w:tc>
          <w:tcPr>
            <w:tcW w:w="354" w:type="pct"/>
            <w:tcBorders>
              <w:top w:val="nil"/>
              <w:bottom w:val="single" w:sz="8" w:space="0" w:color="auto"/>
            </w:tcBorders>
            <w:vAlign w:val="center"/>
          </w:tcPr>
          <w:p w14:paraId="68C732A4" w14:textId="77777777" w:rsidR="00834EBA" w:rsidRPr="00305BBB" w:rsidRDefault="00834EBA" w:rsidP="008C4819">
            <w:pPr>
              <w:spacing w:line="360" w:lineRule="auto"/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color w:val="000000"/>
                <w:szCs w:val="21"/>
              </w:rPr>
              <w:t>1–2</w:t>
            </w:r>
          </w:p>
        </w:tc>
        <w:tc>
          <w:tcPr>
            <w:tcW w:w="3681" w:type="pct"/>
            <w:tcBorders>
              <w:top w:val="nil"/>
              <w:bottom w:val="single" w:sz="8" w:space="0" w:color="auto"/>
            </w:tcBorders>
          </w:tcPr>
          <w:p w14:paraId="3CEEAECC" w14:textId="77777777" w:rsidR="00834EBA" w:rsidRPr="00305BBB" w:rsidRDefault="00834EBA" w:rsidP="008C4819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 w:rsidRPr="00305BBB">
              <w:rPr>
                <w:rFonts w:ascii="Arial" w:hAnsi="Arial" w:cs="Arial"/>
                <w:szCs w:val="21"/>
              </w:rPr>
              <w:t>Chemically invalid structure with impossible coordination, incorrect valence states, or incompatible connectivity.</w:t>
            </w:r>
          </w:p>
        </w:tc>
      </w:tr>
    </w:tbl>
    <w:p w14:paraId="05F1289D" w14:textId="77777777" w:rsidR="002E01DB" w:rsidRPr="00834EBA" w:rsidRDefault="002E01DB"/>
    <w:sectPr w:rsidR="002E01DB" w:rsidRPr="00834EBA" w:rsidSect="00834EB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BA"/>
    <w:rsid w:val="002E01DB"/>
    <w:rsid w:val="0083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D03C"/>
  <w15:chartTrackingRefBased/>
  <w15:docId w15:val="{C50BA734-97DF-4212-AB8F-442851E1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EBA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834EB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潘</dc:creator>
  <cp:keywords/>
  <dc:description/>
  <cp:lastModifiedBy>尧 潘</cp:lastModifiedBy>
  <cp:revision>1</cp:revision>
  <dcterms:created xsi:type="dcterms:W3CDTF">2025-12-19T09:43:00Z</dcterms:created>
  <dcterms:modified xsi:type="dcterms:W3CDTF">2025-12-19T09:44:00Z</dcterms:modified>
</cp:coreProperties>
</file>