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Default="004C6FC7" w:rsidP="004C6FC7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4C6FC7">
        <w:rPr>
          <w:rFonts w:asciiTheme="minorEastAsia" w:hAnsiTheme="minorEastAsia" w:hint="eastAsia"/>
          <w:b/>
          <w:sz w:val="28"/>
          <w:szCs w:val="28"/>
        </w:rPr>
        <w:t>模式识别</w:t>
      </w:r>
    </w:p>
    <w:p w:rsidR="004C6FC7" w:rsidRPr="0019274F" w:rsidRDefault="004C6FC7" w:rsidP="0019274F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19274F">
        <w:rPr>
          <w:rFonts w:asciiTheme="minorEastAsia" w:hAnsiTheme="minorEastAsia" w:hint="eastAsia"/>
          <w:sz w:val="24"/>
          <w:szCs w:val="24"/>
        </w:rPr>
        <w:t>熊市，趋势向下</w:t>
      </w:r>
    </w:p>
    <w:p w:rsidR="004C6FC7" w:rsidRPr="0019274F" w:rsidRDefault="004C6FC7" w:rsidP="0019274F">
      <w:pPr>
        <w:ind w:firstLine="420"/>
        <w:rPr>
          <w:rFonts w:asciiTheme="minorEastAsia" w:hAnsiTheme="minorEastAsia"/>
          <w:sz w:val="24"/>
          <w:szCs w:val="24"/>
        </w:rPr>
      </w:pPr>
      <w:r w:rsidRPr="0019274F">
        <w:rPr>
          <w:rFonts w:asciiTheme="minorEastAsia" w:hAnsiTheme="minorEastAsia" w:hint="eastAsia"/>
          <w:sz w:val="24"/>
          <w:szCs w:val="24"/>
        </w:rPr>
        <w:t>1.1单边下跌</w:t>
      </w:r>
    </w:p>
    <w:p w:rsidR="004C6FC7" w:rsidRDefault="004C6FC7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空仓观望，</w:t>
      </w:r>
      <w:r w:rsidR="00D150CB">
        <w:rPr>
          <w:rFonts w:asciiTheme="minorEastAsia" w:hAnsiTheme="minorEastAsia" w:hint="eastAsia"/>
          <w:sz w:val="24"/>
          <w:szCs w:val="24"/>
        </w:rPr>
        <w:t>耐心等待，</w:t>
      </w:r>
      <w:r>
        <w:rPr>
          <w:rFonts w:asciiTheme="minorEastAsia" w:hAnsiTheme="minorEastAsia" w:hint="eastAsia"/>
          <w:sz w:val="24"/>
          <w:szCs w:val="24"/>
        </w:rPr>
        <w:t>严密监视目标股，时刻做好建仓准备</w:t>
      </w:r>
      <w:r w:rsidR="0019274F">
        <w:rPr>
          <w:rFonts w:asciiTheme="minorEastAsia" w:hAnsiTheme="minorEastAsia" w:hint="eastAsia"/>
          <w:sz w:val="24"/>
          <w:szCs w:val="24"/>
        </w:rPr>
        <w:t>。</w:t>
      </w:r>
      <w:r w:rsidR="009953A5">
        <w:rPr>
          <w:rFonts w:asciiTheme="minorEastAsia" w:hAnsiTheme="minorEastAsia" w:hint="eastAsia"/>
          <w:sz w:val="24"/>
          <w:szCs w:val="24"/>
        </w:rPr>
        <w:t>监视</w:t>
      </w:r>
      <w:r w:rsidR="0019274F">
        <w:rPr>
          <w:rFonts w:asciiTheme="minorEastAsia" w:hAnsiTheme="minorEastAsia" w:hint="eastAsia"/>
          <w:sz w:val="24"/>
          <w:szCs w:val="24"/>
        </w:rPr>
        <w:t>银行股，上证ETF50等标的</w:t>
      </w:r>
    </w:p>
    <w:p w:rsidR="004C6FC7" w:rsidRDefault="004C6FC7" w:rsidP="00D668A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1.2横盘震荡</w:t>
      </w:r>
    </w:p>
    <w:p w:rsidR="004C6FC7" w:rsidRDefault="004C6FC7" w:rsidP="004C6FC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底部支撑</w:t>
      </w:r>
      <w:r w:rsidR="00324C18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仓博反弹，可选择银行股，上证ETF50等标的</w:t>
      </w:r>
    </w:p>
    <w:p w:rsidR="004C6FC7" w:rsidRDefault="004C6FC7" w:rsidP="00D668A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1.3局部反弹</w:t>
      </w:r>
    </w:p>
    <w:p w:rsidR="00324C18" w:rsidRDefault="00324C18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在整数关口、前低、前期筹码密集处、缺口等位置</w:t>
      </w:r>
      <w:r w:rsidR="00D668A6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</w:t>
      </w:r>
      <w:r w:rsidR="000B47B0">
        <w:rPr>
          <w:rFonts w:asciiTheme="minorEastAsia" w:hAnsiTheme="minorEastAsia" w:hint="eastAsia"/>
          <w:sz w:val="24"/>
          <w:szCs w:val="24"/>
        </w:rPr>
        <w:t>。反弹第一波前2天可做二板策略。</w:t>
      </w:r>
      <w:r w:rsidR="009953A5">
        <w:rPr>
          <w:rFonts w:asciiTheme="minorEastAsia" w:hAnsiTheme="minorEastAsia" w:hint="eastAsia"/>
          <w:sz w:val="24"/>
          <w:szCs w:val="24"/>
        </w:rPr>
        <w:t>可应用危机反转策略。</w:t>
      </w:r>
    </w:p>
    <w:p w:rsidR="004C6FC7" w:rsidRDefault="004C6FC7" w:rsidP="004C6FC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1.4突发利空</w:t>
      </w:r>
    </w:p>
    <w:p w:rsidR="00A03DA4" w:rsidRDefault="009953A5" w:rsidP="009953A5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突发利空暴跌后，接下来1到3天会有反抽，调整1到2周后会有反弹。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做银行股，上证ETF50等标的</w:t>
      </w:r>
    </w:p>
    <w:p w:rsidR="00D150CB" w:rsidRDefault="00D150CB" w:rsidP="004C6FC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1.5趋势反转</w:t>
      </w:r>
    </w:p>
    <w:p w:rsidR="00D150CB" w:rsidRDefault="00D150CB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熊市经过长期下跌（以月为单位），三次跌穿支撑，市场利空因素反转，国家出台减税、发展资本市场等其他利好政策。</w:t>
      </w:r>
    </w:p>
    <w:p w:rsidR="00D4685D" w:rsidRDefault="00D4685D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券商股在熊市末期会优先启动，可以此作为熊市反转标志。反转之前经常会反向操作，砸一个黄金坑。反转初期量能放大，震荡加剧。</w:t>
      </w:r>
    </w:p>
    <w:p w:rsidR="00D150CB" w:rsidRDefault="00D150CB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建仓券商、行业反转、涨价、热点题材等强势标的。</w:t>
      </w:r>
    </w:p>
    <w:p w:rsidR="00AA4C3E" w:rsidRDefault="00AA4C3E" w:rsidP="00AA4C3E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1.6股灾</w:t>
      </w:r>
    </w:p>
    <w:p w:rsidR="009953A5" w:rsidRDefault="009953A5" w:rsidP="009953A5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大跌之后必有大涨。反弹前兆：市场情绪极度悲观，小道消息金融机构要大幅裁员。</w:t>
      </w:r>
    </w:p>
    <w:p w:rsidR="009953A5" w:rsidRPr="004C6FC7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股灾后的反弹第一波3天30个点左右。可参与第二波，回调第2天逢低建仓。</w:t>
      </w:r>
    </w:p>
    <w:sectPr w:rsidR="009953A5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50E3B"/>
    <w:rsid w:val="000B47B0"/>
    <w:rsid w:val="000B48B9"/>
    <w:rsid w:val="00161473"/>
    <w:rsid w:val="0019274F"/>
    <w:rsid w:val="002E4B37"/>
    <w:rsid w:val="00324C18"/>
    <w:rsid w:val="0044493B"/>
    <w:rsid w:val="004C6FC7"/>
    <w:rsid w:val="006D7AFD"/>
    <w:rsid w:val="00762D3F"/>
    <w:rsid w:val="008A108F"/>
    <w:rsid w:val="009953A5"/>
    <w:rsid w:val="009B09A5"/>
    <w:rsid w:val="00A03DA4"/>
    <w:rsid w:val="00AA4C3E"/>
    <w:rsid w:val="00B54E0C"/>
    <w:rsid w:val="00D150CB"/>
    <w:rsid w:val="00D4685D"/>
    <w:rsid w:val="00D668A6"/>
    <w:rsid w:val="00D87132"/>
    <w:rsid w:val="00ED0D6D"/>
    <w:rsid w:val="00F1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15</cp:revision>
  <dcterms:created xsi:type="dcterms:W3CDTF">2018-04-07T00:42:00Z</dcterms:created>
  <dcterms:modified xsi:type="dcterms:W3CDTF">2019-05-12T03:03:00Z</dcterms:modified>
</cp:coreProperties>
</file>