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05805" w14:textId="163DC7E6" w:rsidR="00EB6193" w:rsidRDefault="00B84F86">
      <w:pPr>
        <w:rPr>
          <w:szCs w:val="21"/>
        </w:rPr>
      </w:pPr>
      <w:r>
        <w:rPr>
          <w:rFonts w:ascii="微软雅黑" w:eastAsia="微软雅黑" w:hAnsi="微软雅黑" w:hint="eastAsia"/>
          <w:color w:val="4D4F53"/>
          <w:spacing w:val="15"/>
          <w:szCs w:val="21"/>
        </w:rPr>
        <w:t>券商业务介绍：</w:t>
      </w:r>
    </w:p>
    <w:p w14:paraId="75B1A9DE" w14:textId="3BCEABCD" w:rsidR="00B84F86" w:rsidRDefault="00B84F86">
      <w:pPr>
        <w:rPr>
          <w:szCs w:val="21"/>
        </w:rPr>
      </w:pPr>
    </w:p>
    <w:tbl>
      <w:tblPr>
        <w:tblStyle w:val="a3"/>
        <w:tblW w:w="0" w:type="auto"/>
        <w:tblLook w:val="04A0" w:firstRow="1" w:lastRow="0" w:firstColumn="1" w:lastColumn="0" w:noHBand="0" w:noVBand="1"/>
      </w:tblPr>
      <w:tblGrid>
        <w:gridCol w:w="660"/>
        <w:gridCol w:w="7636"/>
      </w:tblGrid>
      <w:tr w:rsidR="00B84F86" w14:paraId="3ED8C90B" w14:textId="77777777" w:rsidTr="00B84F86">
        <w:tc>
          <w:tcPr>
            <w:tcW w:w="0" w:type="auto"/>
          </w:tcPr>
          <w:p w14:paraId="7A9D815D" w14:textId="27CE2A79" w:rsidR="00B84F86" w:rsidRDefault="00BC7BE8">
            <w:pPr>
              <w:rPr>
                <w:szCs w:val="21"/>
              </w:rPr>
            </w:pPr>
            <w:r>
              <w:rPr>
                <w:rFonts w:hint="eastAsia"/>
                <w:szCs w:val="21"/>
              </w:rPr>
              <w:t>项目</w:t>
            </w:r>
          </w:p>
        </w:tc>
        <w:tc>
          <w:tcPr>
            <w:tcW w:w="0" w:type="auto"/>
          </w:tcPr>
          <w:p w14:paraId="0778C2E0" w14:textId="22633A57" w:rsidR="00B84F86" w:rsidRDefault="00BC7BE8">
            <w:pPr>
              <w:rPr>
                <w:szCs w:val="21"/>
              </w:rPr>
            </w:pPr>
            <w:r>
              <w:rPr>
                <w:rFonts w:hint="eastAsia"/>
                <w:szCs w:val="21"/>
              </w:rPr>
              <w:t>内容</w:t>
            </w:r>
          </w:p>
        </w:tc>
      </w:tr>
      <w:tr w:rsidR="00B84F86" w14:paraId="2BBBE170" w14:textId="77777777" w:rsidTr="00B84F86">
        <w:tc>
          <w:tcPr>
            <w:tcW w:w="0" w:type="auto"/>
          </w:tcPr>
          <w:p w14:paraId="1DA57148" w14:textId="255337BD" w:rsidR="00B84F86" w:rsidRDefault="00B84F86">
            <w:pPr>
              <w:rPr>
                <w:szCs w:val="21"/>
              </w:rPr>
            </w:pPr>
            <w:r>
              <w:rPr>
                <w:rFonts w:hint="eastAsia"/>
                <w:szCs w:val="21"/>
              </w:rPr>
              <w:t>财富管理</w:t>
            </w:r>
          </w:p>
        </w:tc>
        <w:tc>
          <w:tcPr>
            <w:tcW w:w="0" w:type="auto"/>
          </w:tcPr>
          <w:p w14:paraId="0250CB82" w14:textId="77777777" w:rsidR="00B84F86" w:rsidRDefault="00B84F86" w:rsidP="00B84F86">
            <w:pPr>
              <w:rPr>
                <w:szCs w:val="21"/>
              </w:rPr>
            </w:pPr>
            <w:r w:rsidRPr="00B84F86">
              <w:rPr>
                <w:rFonts w:hint="eastAsia"/>
                <w:szCs w:val="21"/>
              </w:rPr>
              <w:t>包括证券期货期权经纪、金融产品销售、资本中介、基金投顾等业务。</w:t>
            </w:r>
          </w:p>
          <w:p w14:paraId="733EEDC7" w14:textId="3CFEC29F" w:rsidR="00B84F86" w:rsidRDefault="00B84F86" w:rsidP="00B84F86">
            <w:pPr>
              <w:rPr>
                <w:szCs w:val="21"/>
              </w:rPr>
            </w:pPr>
            <w:r>
              <w:rPr>
                <w:rFonts w:hint="eastAsia"/>
                <w:szCs w:val="21"/>
              </w:rPr>
              <w:t>1、</w:t>
            </w:r>
            <w:r w:rsidRPr="00B84F86">
              <w:rPr>
                <w:rFonts w:hint="eastAsia"/>
                <w:szCs w:val="21"/>
              </w:rPr>
              <w:t>证券期货期权经纪业务方面，主要代理客户买卖股票、基金、债券、期货及期权等，提供交易服务。</w:t>
            </w:r>
          </w:p>
          <w:p w14:paraId="4FA75617" w14:textId="2153A5E3" w:rsidR="00B84F86" w:rsidRDefault="00B84F86" w:rsidP="00B84F86">
            <w:pPr>
              <w:rPr>
                <w:szCs w:val="21"/>
              </w:rPr>
            </w:pPr>
            <w:r>
              <w:rPr>
                <w:rFonts w:hint="eastAsia"/>
                <w:szCs w:val="21"/>
              </w:rPr>
              <w:t>2、</w:t>
            </w:r>
            <w:r w:rsidRPr="00B84F86">
              <w:rPr>
                <w:rFonts w:hint="eastAsia"/>
                <w:szCs w:val="21"/>
              </w:rPr>
              <w:t>金融产品销售业务方面，主要向客户提供各种金融产品销售服务和资产配置服务，相关金融产品由本集团及其他金融机构管理。</w:t>
            </w:r>
          </w:p>
          <w:p w14:paraId="4772FF33" w14:textId="3C2267F6" w:rsidR="00B84F86" w:rsidRDefault="00B84F86" w:rsidP="00B84F86">
            <w:pPr>
              <w:rPr>
                <w:szCs w:val="21"/>
              </w:rPr>
            </w:pPr>
            <w:r>
              <w:rPr>
                <w:szCs w:val="21"/>
              </w:rPr>
              <w:t>3</w:t>
            </w:r>
            <w:r>
              <w:rPr>
                <w:rFonts w:hint="eastAsia"/>
                <w:szCs w:val="21"/>
              </w:rPr>
              <w:t>、</w:t>
            </w:r>
            <w:r w:rsidRPr="00B84F86">
              <w:rPr>
                <w:rFonts w:hint="eastAsia"/>
                <w:szCs w:val="21"/>
              </w:rPr>
              <w:t>资本中介业务方面，向客户提供融资融券、股票质押式回购等多样化融资服务。</w:t>
            </w:r>
            <w:r>
              <w:rPr>
                <w:rFonts w:hint="eastAsia"/>
                <w:szCs w:val="21"/>
              </w:rPr>
              <w:t>4、</w:t>
            </w:r>
            <w:r w:rsidRPr="00B84F86">
              <w:rPr>
                <w:rFonts w:hint="eastAsia"/>
                <w:szCs w:val="21"/>
              </w:rPr>
              <w:t>基金投顾业务方面，主要是接受客户委托，在客户授权的范围内，按照协议约定为客户做出投资基金的具体品种、数量和买卖时机的选择，并代替客户进行基金产品申购、赎回、转换等交易申请。</w:t>
            </w:r>
          </w:p>
          <w:p w14:paraId="6EF7992A" w14:textId="2482C2AC" w:rsidR="00B84F86" w:rsidRDefault="00B84F86" w:rsidP="00B84F86">
            <w:pPr>
              <w:rPr>
                <w:szCs w:val="21"/>
              </w:rPr>
            </w:pPr>
            <w:r w:rsidRPr="00B84F86">
              <w:rPr>
                <w:rFonts w:hint="eastAsia"/>
                <w:szCs w:val="21"/>
              </w:rPr>
              <w:t>财富管理业务主要业绩驱动因素包括手续费及佣金收入、利息收入等。</w:t>
            </w:r>
          </w:p>
        </w:tc>
      </w:tr>
      <w:tr w:rsidR="00B84F86" w14:paraId="2C56E08B" w14:textId="77777777" w:rsidTr="00B84F86">
        <w:tc>
          <w:tcPr>
            <w:tcW w:w="0" w:type="auto"/>
          </w:tcPr>
          <w:p w14:paraId="61C43EDB" w14:textId="3BD8874D" w:rsidR="00B84F86" w:rsidRDefault="00BC7BE8">
            <w:pPr>
              <w:rPr>
                <w:szCs w:val="21"/>
              </w:rPr>
            </w:pPr>
            <w:r w:rsidRPr="00BC7BE8">
              <w:rPr>
                <w:rFonts w:hint="eastAsia"/>
                <w:szCs w:val="21"/>
              </w:rPr>
              <w:t>机构服务业务</w:t>
            </w:r>
          </w:p>
        </w:tc>
        <w:tc>
          <w:tcPr>
            <w:tcW w:w="0" w:type="auto"/>
          </w:tcPr>
          <w:p w14:paraId="4DDD01DA" w14:textId="14E6966C" w:rsidR="00BC7BE8" w:rsidRPr="00BC7BE8" w:rsidRDefault="00BC7BE8" w:rsidP="00BC7BE8">
            <w:pPr>
              <w:rPr>
                <w:szCs w:val="21"/>
              </w:rPr>
            </w:pPr>
            <w:r w:rsidRPr="00BC7BE8">
              <w:rPr>
                <w:rFonts w:hint="eastAsia"/>
                <w:szCs w:val="21"/>
              </w:rPr>
              <w:t>主要包括投资银行业务、主经纪商业务、研究与机构销售业务和投资交易业务。</w:t>
            </w:r>
          </w:p>
          <w:p w14:paraId="7982F0B0" w14:textId="5B7E7DA4" w:rsidR="00BC7BE8" w:rsidRPr="00BC7BE8" w:rsidRDefault="00BC7BE8" w:rsidP="00BC7BE8">
            <w:pPr>
              <w:rPr>
                <w:szCs w:val="21"/>
              </w:rPr>
            </w:pPr>
            <w:r w:rsidRPr="00BC7BE8">
              <w:rPr>
                <w:rFonts w:hint="eastAsia"/>
                <w:szCs w:val="21"/>
              </w:rPr>
              <w:t>（</w:t>
            </w:r>
            <w:r w:rsidRPr="00BC7BE8">
              <w:rPr>
                <w:szCs w:val="21"/>
              </w:rPr>
              <w:t>1）投资银行业务主要包括股权承销、债券承销、财务顾问和场外业务等。股权承销业务方面，为</w:t>
            </w:r>
            <w:r w:rsidRPr="00BC7BE8">
              <w:rPr>
                <w:rFonts w:hint="eastAsia"/>
                <w:szCs w:val="21"/>
              </w:rPr>
              <w:t>客户提供首次公开发行及股权再融资服务。债券承销业务方面，为客户提供各类债券融资服务。财务顾问业务方面，从产业布局和策略角度为客户提供以并购为主的财务顾问服务。场外业务方面，为客户提供新三板挂牌及后续融资服务，以及江苏股权交易中心从事的相关场外业务。投资银行业务主要业绩驱动因素包括承销及保荐费、顾问费等。</w:t>
            </w:r>
          </w:p>
          <w:p w14:paraId="0604EA39" w14:textId="054DEC93" w:rsidR="00BC7BE8" w:rsidRPr="00BC7BE8" w:rsidRDefault="00BC7BE8" w:rsidP="00BC7BE8">
            <w:pPr>
              <w:rPr>
                <w:szCs w:val="21"/>
              </w:rPr>
            </w:pPr>
            <w:r w:rsidRPr="00BC7BE8">
              <w:rPr>
                <w:rFonts w:hint="eastAsia"/>
                <w:szCs w:val="21"/>
              </w:rPr>
              <w:t>（</w:t>
            </w:r>
            <w:r w:rsidRPr="00BC7BE8">
              <w:rPr>
                <w:szCs w:val="21"/>
              </w:rPr>
              <w:t>2）主经纪商业务主要包括为私募基金、公募基金等各类资管机构提供资产托管和基金服务，包括</w:t>
            </w:r>
            <w:r w:rsidRPr="00BC7BE8">
              <w:rPr>
                <w:rFonts w:hint="eastAsia"/>
                <w:szCs w:val="21"/>
              </w:rPr>
              <w:t>结算、清算、报告和估值等。此外，亦向主经纪商客户提供融资融券、金融产品销售和其他增值服务。主经纪商业务主要业绩驱动因素包括基金托管费及服务业务费。</w:t>
            </w:r>
          </w:p>
          <w:p w14:paraId="6F326CE7" w14:textId="667E88A1" w:rsidR="00BC7BE8" w:rsidRPr="00BC7BE8" w:rsidRDefault="00BC7BE8" w:rsidP="00BC7BE8">
            <w:pPr>
              <w:rPr>
                <w:szCs w:val="21"/>
              </w:rPr>
            </w:pPr>
            <w:r w:rsidRPr="00BC7BE8">
              <w:rPr>
                <w:rFonts w:hint="eastAsia"/>
                <w:szCs w:val="21"/>
              </w:rPr>
              <w:t>（</w:t>
            </w:r>
            <w:r w:rsidRPr="00BC7BE8">
              <w:rPr>
                <w:szCs w:val="21"/>
              </w:rPr>
              <w:t>3）研究与机构销售业务主要包括研究业务和机构销售业务。研究业务方面，为客户提供各种专业</w:t>
            </w:r>
            <w:r w:rsidRPr="00BC7BE8">
              <w:rPr>
                <w:rFonts w:hint="eastAsia"/>
                <w:szCs w:val="21"/>
              </w:rPr>
              <w:t>化研究服务。机构销售业务方面，向客户推广和销售证券产品及服务。研究与机构销售业务主要业绩驱动因素包括各类研究和金融产品的服务收入。</w:t>
            </w:r>
          </w:p>
          <w:p w14:paraId="40AC481A" w14:textId="2EA92090" w:rsidR="00B84F86" w:rsidRDefault="00BC7BE8" w:rsidP="00BC7BE8">
            <w:pPr>
              <w:rPr>
                <w:szCs w:val="21"/>
              </w:rPr>
            </w:pPr>
            <w:r w:rsidRPr="00BC7BE8">
              <w:rPr>
                <w:rFonts w:hint="eastAsia"/>
                <w:szCs w:val="21"/>
              </w:rPr>
              <w:t>（</w:t>
            </w:r>
            <w:r w:rsidRPr="00BC7BE8">
              <w:rPr>
                <w:szCs w:val="21"/>
              </w:rPr>
              <w:t>4）投资交易业务主要包括权益交易、FICC 交易及场外衍生品交易。本集团以自有资金开展权益</w:t>
            </w:r>
            <w:r w:rsidRPr="00BC7BE8">
              <w:rPr>
                <w:rFonts w:hint="eastAsia"/>
                <w:szCs w:val="21"/>
              </w:rPr>
              <w:t>类、</w:t>
            </w:r>
            <w:r w:rsidRPr="00BC7BE8">
              <w:rPr>
                <w:szCs w:val="21"/>
              </w:rPr>
              <w:t>FICC 类及其他金融工具交易，通过各类交易策略和交易技术降低投资风险并提高回报。同时，</w:t>
            </w:r>
            <w:r w:rsidRPr="00BC7BE8">
              <w:rPr>
                <w:rFonts w:hint="eastAsia"/>
                <w:szCs w:val="21"/>
              </w:rPr>
              <w:t>为满足客户投融资与风险管理需求，亦从事做市业务和场外衍生品业务。权益交易方面，开展股票、</w:t>
            </w:r>
            <w:r w:rsidRPr="00BC7BE8">
              <w:rPr>
                <w:szCs w:val="21"/>
              </w:rPr>
              <w:t>ETF 和衍生工具的投资与交易，并从事金融产品做市服务等。FICC 交易方面，开展银行间及交易</w:t>
            </w:r>
            <w:r w:rsidRPr="00BC7BE8">
              <w:rPr>
                <w:rFonts w:hint="eastAsia"/>
                <w:szCs w:val="21"/>
              </w:rPr>
              <w:t>所债券市场各类</w:t>
            </w:r>
            <w:r w:rsidRPr="00BC7BE8">
              <w:rPr>
                <w:szCs w:val="21"/>
              </w:rPr>
              <w:t xml:space="preserve"> FICC 和衍生工具的投资与交易，并从事银行间债券市场、债券通做市服务等。场</w:t>
            </w:r>
            <w:r w:rsidRPr="00BC7BE8">
              <w:rPr>
                <w:rFonts w:hint="eastAsia"/>
                <w:szCs w:val="21"/>
              </w:rPr>
              <w:t>外衍生品交易方面，为客户创设及交易</w:t>
            </w:r>
            <w:r w:rsidRPr="00BC7BE8">
              <w:rPr>
                <w:szCs w:val="21"/>
              </w:rPr>
              <w:t xml:space="preserve"> OTC 金融产品，主要包括权益类收益互换、场外期权和收</w:t>
            </w:r>
            <w:r w:rsidRPr="00BC7BE8">
              <w:rPr>
                <w:rFonts w:hint="eastAsia"/>
                <w:szCs w:val="21"/>
              </w:rPr>
              <w:t>益凭证等。投资交易业务主要业绩驱动因素包括权益、</w:t>
            </w:r>
            <w:r w:rsidRPr="00BC7BE8">
              <w:rPr>
                <w:szCs w:val="21"/>
              </w:rPr>
              <w:t>FICC 产品和衍生产品等各类投资收益等。</w:t>
            </w:r>
          </w:p>
        </w:tc>
      </w:tr>
      <w:tr w:rsidR="00B84F86" w14:paraId="7CE795C6" w14:textId="77777777" w:rsidTr="00B84F86">
        <w:tc>
          <w:tcPr>
            <w:tcW w:w="0" w:type="auto"/>
          </w:tcPr>
          <w:p w14:paraId="1BF0F8D5" w14:textId="50A4872A" w:rsidR="00B84F86" w:rsidRPr="008B7A69" w:rsidRDefault="008B7A69">
            <w:pPr>
              <w:rPr>
                <w:szCs w:val="21"/>
              </w:rPr>
            </w:pPr>
            <w:r w:rsidRPr="008B7A69">
              <w:rPr>
                <w:rFonts w:hint="eastAsia"/>
                <w:szCs w:val="21"/>
              </w:rPr>
              <w:t>投资管理业务</w:t>
            </w:r>
          </w:p>
        </w:tc>
        <w:tc>
          <w:tcPr>
            <w:tcW w:w="0" w:type="auto"/>
          </w:tcPr>
          <w:p w14:paraId="33C1EA5B" w14:textId="2CFE6801" w:rsidR="008B7A69" w:rsidRPr="008B7A69" w:rsidRDefault="008B7A69" w:rsidP="008B7A69">
            <w:pPr>
              <w:rPr>
                <w:szCs w:val="21"/>
              </w:rPr>
            </w:pPr>
            <w:r w:rsidRPr="008B7A69">
              <w:rPr>
                <w:rFonts w:hint="eastAsia"/>
                <w:szCs w:val="21"/>
              </w:rPr>
              <w:t>主要包括</w:t>
            </w:r>
            <w:r w:rsidRPr="008B7A69">
              <w:rPr>
                <w:szCs w:val="21"/>
              </w:rPr>
              <w:t xml:space="preserve"> ：证券公司资产管理、私募股权基金管理及基金</w:t>
            </w:r>
            <w:r w:rsidRPr="008B7A69">
              <w:rPr>
                <w:rFonts w:hint="eastAsia"/>
                <w:szCs w:val="21"/>
              </w:rPr>
              <w:t>公司资产管理业务等。</w:t>
            </w:r>
            <w:r>
              <w:rPr>
                <w:rFonts w:hint="eastAsia"/>
                <w:szCs w:val="21"/>
              </w:rPr>
              <w:t>1、</w:t>
            </w:r>
            <w:r w:rsidRPr="008B7A69">
              <w:rPr>
                <w:rFonts w:hint="eastAsia"/>
                <w:szCs w:val="21"/>
              </w:rPr>
              <w:t>证券公司资产管理业务方面，通过全资子公司华泰资管公司参与经营证券公</w:t>
            </w:r>
          </w:p>
          <w:p w14:paraId="4834C99B" w14:textId="77777777" w:rsidR="008B7A69" w:rsidRDefault="008B7A69" w:rsidP="008B7A69">
            <w:pPr>
              <w:rPr>
                <w:szCs w:val="21"/>
              </w:rPr>
            </w:pPr>
            <w:r w:rsidRPr="008B7A69">
              <w:rPr>
                <w:rFonts w:hint="eastAsia"/>
                <w:szCs w:val="21"/>
              </w:rPr>
              <w:t>司资产管理业务，包括集合资产管理业务、单一资产管理业务、专项资产管理业务和公募基金管理业务（与本集团旗下基金公司公募基金管理业务差异化经营）。</w:t>
            </w:r>
          </w:p>
          <w:p w14:paraId="1EE52C00" w14:textId="6D148B66" w:rsidR="008B7A69" w:rsidRDefault="008B7A69" w:rsidP="008B7A69">
            <w:pPr>
              <w:rPr>
                <w:szCs w:val="21"/>
              </w:rPr>
            </w:pPr>
            <w:r>
              <w:rPr>
                <w:rFonts w:hint="eastAsia"/>
                <w:szCs w:val="21"/>
              </w:rPr>
              <w:t>2、</w:t>
            </w:r>
            <w:r w:rsidRPr="008B7A69">
              <w:rPr>
                <w:rFonts w:hint="eastAsia"/>
                <w:szCs w:val="21"/>
              </w:rPr>
              <w:t>私募股权基金管理业务方面，通过全资子公司华泰紫金投资开展私募股权基金业务，包括私募股权基金的投资与管理。</w:t>
            </w:r>
          </w:p>
          <w:p w14:paraId="3D35F43F" w14:textId="77777777" w:rsidR="008B7A69" w:rsidRDefault="008B7A69" w:rsidP="008B7A69">
            <w:pPr>
              <w:rPr>
                <w:szCs w:val="21"/>
              </w:rPr>
            </w:pPr>
            <w:r>
              <w:rPr>
                <w:szCs w:val="21"/>
              </w:rPr>
              <w:lastRenderedPageBreak/>
              <w:t>3</w:t>
            </w:r>
            <w:r>
              <w:rPr>
                <w:rFonts w:hint="eastAsia"/>
                <w:szCs w:val="21"/>
              </w:rPr>
              <w:t>、</w:t>
            </w:r>
            <w:r w:rsidRPr="008B7A69">
              <w:rPr>
                <w:rFonts w:hint="eastAsia"/>
                <w:szCs w:val="21"/>
              </w:rPr>
              <w:t>基金公司资产管理业务方面，本集团持有两家公募基金管理公司（南方基金和华泰柏瑞）的非控股权益，通过其参与经营基金公司资产管理业务。</w:t>
            </w:r>
          </w:p>
          <w:p w14:paraId="0686D009" w14:textId="013A8611" w:rsidR="00B84F86" w:rsidRDefault="008B7A69" w:rsidP="008B7A69">
            <w:pPr>
              <w:rPr>
                <w:szCs w:val="21"/>
              </w:rPr>
            </w:pPr>
            <w:r w:rsidRPr="008B7A69">
              <w:rPr>
                <w:rFonts w:hint="eastAsia"/>
                <w:szCs w:val="21"/>
              </w:rPr>
              <w:t>资产管理业务主要业绩驱动因素包括管理费、业绩表现费及投资收益等。</w:t>
            </w:r>
          </w:p>
        </w:tc>
      </w:tr>
      <w:tr w:rsidR="00B84F86" w14:paraId="2BDF4058" w14:textId="77777777" w:rsidTr="00B84F86">
        <w:tc>
          <w:tcPr>
            <w:tcW w:w="0" w:type="auto"/>
          </w:tcPr>
          <w:p w14:paraId="5B69C916" w14:textId="4BB2C26E" w:rsidR="00B84F86" w:rsidRDefault="008B7A69">
            <w:pPr>
              <w:rPr>
                <w:szCs w:val="21"/>
              </w:rPr>
            </w:pPr>
            <w:r w:rsidRPr="008B7A69">
              <w:rPr>
                <w:rFonts w:hint="eastAsia"/>
                <w:szCs w:val="21"/>
              </w:rPr>
              <w:lastRenderedPageBreak/>
              <w:t>国际业务</w:t>
            </w:r>
          </w:p>
        </w:tc>
        <w:tc>
          <w:tcPr>
            <w:tcW w:w="0" w:type="auto"/>
          </w:tcPr>
          <w:p w14:paraId="04542A16" w14:textId="6C3365D1" w:rsidR="00B84F86" w:rsidRDefault="001C088C" w:rsidP="001C088C">
            <w:pPr>
              <w:rPr>
                <w:szCs w:val="21"/>
              </w:rPr>
            </w:pPr>
            <w:r w:rsidRPr="001C088C">
              <w:rPr>
                <w:rFonts w:hint="eastAsia"/>
                <w:szCs w:val="21"/>
              </w:rPr>
              <w:t>国际业务在香港主要通过国泰君安国际开展经纪、企业融资、资产管理、贷款及融资和金融产品、做市及投资业务，并已在美国、欧洲及东南亚等地进行业务布局</w:t>
            </w:r>
          </w:p>
        </w:tc>
      </w:tr>
    </w:tbl>
    <w:p w14:paraId="02A1AA1F" w14:textId="77777777" w:rsidR="00B84F86" w:rsidRPr="00EB6193" w:rsidRDefault="00B84F86">
      <w:pPr>
        <w:rPr>
          <w:szCs w:val="21"/>
        </w:rPr>
      </w:pPr>
    </w:p>
    <w:sectPr w:rsidR="00B84F86" w:rsidRPr="00EB61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40"/>
    <w:rsid w:val="00081040"/>
    <w:rsid w:val="001C088C"/>
    <w:rsid w:val="002F1B73"/>
    <w:rsid w:val="0043539C"/>
    <w:rsid w:val="008B7A69"/>
    <w:rsid w:val="00B84F86"/>
    <w:rsid w:val="00BC7BE8"/>
    <w:rsid w:val="00C96ECA"/>
    <w:rsid w:val="00D54794"/>
    <w:rsid w:val="00EB6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7426"/>
  <w15:chartTrackingRefBased/>
  <w15:docId w15:val="{6C077F64-FCFA-4020-9446-74DC74E0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84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huangyan</dc:creator>
  <cp:keywords/>
  <dc:description/>
  <cp:lastModifiedBy>huangyan</cp:lastModifiedBy>
  <cp:revision>11</cp:revision>
  <dcterms:created xsi:type="dcterms:W3CDTF">2021-05-13T23:58:00Z</dcterms:created>
  <dcterms:modified xsi:type="dcterms:W3CDTF">2021-11-07T08:08:00Z</dcterms:modified>
</cp:coreProperties>
</file>