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05805" w14:textId="33A004F0" w:rsidR="00EB6193" w:rsidRDefault="00B84F86">
      <w:pPr>
        <w:rPr>
          <w:szCs w:val="21"/>
        </w:rPr>
      </w:pPr>
      <w:r>
        <w:rPr>
          <w:rFonts w:ascii="微软雅黑" w:eastAsia="微软雅黑" w:hAnsi="微软雅黑" w:hint="eastAsia"/>
          <w:color w:val="4D4F53"/>
          <w:spacing w:val="15"/>
          <w:szCs w:val="21"/>
        </w:rPr>
        <w:t>券商</w:t>
      </w:r>
      <w:r w:rsidR="00411BCD">
        <w:rPr>
          <w:rFonts w:ascii="微软雅黑" w:eastAsia="微软雅黑" w:hAnsi="微软雅黑" w:hint="eastAsia"/>
          <w:color w:val="4D4F53"/>
          <w:spacing w:val="15"/>
          <w:szCs w:val="21"/>
        </w:rPr>
        <w:t>净资本</w:t>
      </w:r>
      <w:proofErr w:type="gramStart"/>
      <w:r w:rsidR="00411BCD">
        <w:rPr>
          <w:rFonts w:ascii="微软雅黑" w:eastAsia="微软雅黑" w:hAnsi="微软雅黑" w:hint="eastAsia"/>
          <w:color w:val="4D4F53"/>
          <w:spacing w:val="15"/>
          <w:szCs w:val="21"/>
        </w:rPr>
        <w:t>及风控指标</w:t>
      </w:r>
      <w:proofErr w:type="gramEnd"/>
      <w:r>
        <w:rPr>
          <w:rFonts w:ascii="微软雅黑" w:eastAsia="微软雅黑" w:hAnsi="微软雅黑" w:hint="eastAsia"/>
          <w:color w:val="4D4F53"/>
          <w:spacing w:val="15"/>
          <w:szCs w:val="21"/>
        </w:rPr>
        <w:t>：</w:t>
      </w:r>
    </w:p>
    <w:p w14:paraId="685D7535" w14:textId="565E90EE" w:rsidR="008B64E7" w:rsidRDefault="00DE3E1C" w:rsidP="004D0C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Cs w:val="21"/>
        </w:rPr>
        <w:t>1、</w:t>
      </w:r>
      <w:r w:rsidR="004D0C0F" w:rsidRPr="004D0C0F">
        <w:rPr>
          <w:rFonts w:hint="eastAsia"/>
          <w:szCs w:val="21"/>
        </w:rPr>
        <w:t>净资本</w:t>
      </w:r>
      <w:r w:rsidR="004D0C0F">
        <w:rPr>
          <w:rFonts w:hint="eastAsia"/>
          <w:szCs w:val="21"/>
        </w:rPr>
        <w:t>：</w:t>
      </w:r>
      <w:r w:rsidR="004D0C0F" w:rsidRPr="004D0C0F">
        <w:rPr>
          <w:rFonts w:ascii="宋体" w:eastAsia="宋体" w:hAnsi="宋体" w:cs="宋体"/>
          <w:kern w:val="0"/>
          <w:sz w:val="24"/>
          <w:szCs w:val="24"/>
        </w:rPr>
        <w:t>主要用于券商、基金、期货、投资公司等金融类机构，基本不用于普通企业。是衡量证券公司资产流动性强弱的指标。</w:t>
      </w:r>
      <w:r w:rsidR="004D0C0F" w:rsidRPr="004D0C0F">
        <w:rPr>
          <w:rFonts w:ascii="宋体" w:eastAsia="宋体" w:hAnsi="宋体" w:cs="宋体"/>
          <w:b/>
          <w:bCs/>
          <w:kern w:val="0"/>
          <w:sz w:val="24"/>
          <w:szCs w:val="24"/>
        </w:rPr>
        <w:t>一般特指净资产中流动性较高、变现能力较强的部分。</w:t>
      </w:r>
      <w:r w:rsidR="004D0C0F" w:rsidRPr="004D0C0F">
        <w:rPr>
          <w:rFonts w:ascii="宋体" w:eastAsia="宋体" w:hAnsi="宋体" w:cs="宋体"/>
          <w:kern w:val="0"/>
          <w:sz w:val="24"/>
          <w:szCs w:val="24"/>
        </w:rPr>
        <w:t>所以，非要比较大小，净资本一般小于净资产。</w:t>
      </w:r>
      <w:r w:rsidR="004D0C0F" w:rsidRPr="004D0C0F">
        <w:rPr>
          <w:rFonts w:ascii="宋体" w:eastAsia="宋体" w:hAnsi="宋体" w:cs="宋体"/>
          <w:kern w:val="0"/>
          <w:sz w:val="24"/>
          <w:szCs w:val="24"/>
        </w:rPr>
        <w:br/>
        <w:t>例：证券公司必须符合的风险控制指标标准中：*净资本与净资产比例不得低于40%。</w:t>
      </w:r>
    </w:p>
    <w:p w14:paraId="676E93D8" w14:textId="182ABD82" w:rsidR="00240983" w:rsidRDefault="00240983" w:rsidP="004D0C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B4D741" w14:textId="40DC5444" w:rsidR="00240983" w:rsidRDefault="00DE3E1C" w:rsidP="004D0C0F">
      <w:pPr>
        <w:widowControl/>
        <w:jc w:val="left"/>
      </w:pPr>
      <w:r>
        <w:rPr>
          <w:rFonts w:hint="eastAsia"/>
        </w:rPr>
        <w:t>2、</w:t>
      </w:r>
      <w:r w:rsidR="00240983">
        <w:t>风险覆盖率=净资本/各项风险资本准备之和×100%</w:t>
      </w:r>
    </w:p>
    <w:p w14:paraId="49C85D69" w14:textId="1E521AF3" w:rsidR="00240983" w:rsidRDefault="00DE3E1C" w:rsidP="004D0C0F">
      <w:pPr>
        <w:widowControl/>
        <w:jc w:val="left"/>
      </w:pPr>
      <w:r>
        <w:t>3</w:t>
      </w:r>
      <w:r>
        <w:rPr>
          <w:rFonts w:hint="eastAsia"/>
        </w:rPr>
        <w:t>、</w:t>
      </w:r>
      <w:r w:rsidR="00240983">
        <w:t>资本杠杆率=核心净资本/表内外资产总额×100%，此处核心净资本不扣除担保等或有负债的风险调整。</w:t>
      </w:r>
    </w:p>
    <w:p w14:paraId="4D289F95" w14:textId="6A63615B" w:rsidR="001B09C0" w:rsidRDefault="00DE3E1C" w:rsidP="004D0C0F">
      <w:pPr>
        <w:widowControl/>
        <w:jc w:val="left"/>
      </w:pPr>
      <w:r>
        <w:t>4</w:t>
      </w:r>
      <w:r>
        <w:rPr>
          <w:rFonts w:hint="eastAsia"/>
        </w:rPr>
        <w:t>、</w:t>
      </w:r>
      <w:r w:rsidR="00EA5209">
        <w:t>流动性覆盖率=优质流动性资产/未来 30 日内现金净流出×100%</w:t>
      </w:r>
    </w:p>
    <w:p w14:paraId="5346FFBB" w14:textId="77777777" w:rsidR="00DE3E1C" w:rsidRDefault="00DE3E1C" w:rsidP="004D0C0F">
      <w:pPr>
        <w:widowControl/>
        <w:jc w:val="left"/>
      </w:pPr>
      <w:r>
        <w:t>5</w:t>
      </w:r>
      <w:r>
        <w:rPr>
          <w:rFonts w:hint="eastAsia"/>
        </w:rPr>
        <w:t>、</w:t>
      </w:r>
      <w:r>
        <w:t xml:space="preserve">“自营权益类证券及其衍生品”包括：股票、权益类基金、股指期货、权益互换、权益类期权等。 其中，自营权益类证券按照其市值计算；股指期货投资规模按照合约名义价值总额的 15%计算；权益互 </w:t>
      </w:r>
      <w:proofErr w:type="gramStart"/>
      <w:r>
        <w:t>换投资</w:t>
      </w:r>
      <w:proofErr w:type="gramEnd"/>
      <w:r>
        <w:t>规模按照合约名义价值总额的 10%计算；买入期权投资规模按照买入股票（股指）期权和</w:t>
      </w:r>
      <w:proofErr w:type="gramStart"/>
      <w:r>
        <w:t>买入场</w:t>
      </w:r>
      <w:proofErr w:type="gramEnd"/>
      <w:r>
        <w:t xml:space="preserve"> 外期权的权利金价格之和计算；卖出场内期权投资规模按照 Delta 金额的 15%计算；卖出场外期权投资 规模按照该期权在给定压力情形下的最大损失的 5 </w:t>
      </w:r>
      <w:proofErr w:type="gramStart"/>
      <w:r>
        <w:t>倍</w:t>
      </w:r>
      <w:proofErr w:type="gramEnd"/>
      <w:r>
        <w:t>计算，且不低于名义金额的 5‰，给定压力情形为 期权标的证券价格以当前价格为基础上下波动 20%。对于已有效对</w:t>
      </w:r>
      <w:proofErr w:type="gramStart"/>
      <w:r>
        <w:t>冲风险</w:t>
      </w:r>
      <w:proofErr w:type="gramEnd"/>
      <w:r>
        <w:t>的投资组合，按投资规模总额 的 5%计算，投资规模为多头规模的绝对值与空头规模的绝对值之</w:t>
      </w:r>
      <w:proofErr w:type="gramStart"/>
      <w:r>
        <w:t>和</w:t>
      </w:r>
      <w:proofErr w:type="gramEnd"/>
      <w:r>
        <w:t xml:space="preserve">。名义价值是指合约实际参与衍生品 交易的名义金额。 </w:t>
      </w:r>
    </w:p>
    <w:p w14:paraId="019ACBF6" w14:textId="535732DC" w:rsidR="00DE3E1C" w:rsidRPr="00DE3E1C" w:rsidRDefault="00DE3E1C" w:rsidP="004D0C0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t xml:space="preserve">6.“自营非权益类证券及其衍生品”包括：债券、非权益类基金、国债期货、债券远期、利率互换、 非权益类期权、外汇衍生品、大宗商品衍生品、信用衍生品、单一产品、集合及信托等产品。其中，自 </w:t>
      </w:r>
      <w:proofErr w:type="gramStart"/>
      <w:r>
        <w:t>营非权益</w:t>
      </w:r>
      <w:proofErr w:type="gramEnd"/>
      <w:r>
        <w:t>类证券按照其市值计算；国债期货、债券远期、信用衍生品、利率互换（包括以债券、</w:t>
      </w:r>
      <w:proofErr w:type="gramStart"/>
      <w:r>
        <w:t>固定收</w:t>
      </w:r>
      <w:proofErr w:type="gramEnd"/>
      <w:r>
        <w:t xml:space="preserve"> 益类结构化票据、债券类指数、债券类基金等固定收益类资产为基础标的</w:t>
      </w:r>
      <w:proofErr w:type="gramStart"/>
      <w:r>
        <w:t>的</w:t>
      </w:r>
      <w:proofErr w:type="gramEnd"/>
      <w:r>
        <w:t>收益互换）、外汇衍生品、 大宗商品衍生品（不含商品期权）投资规模分别按照合约名义价值总额的 5%、50%、50%、3%、3%、 10%计算。非权益类期权投资规模参照注 5 计算。名义价值是指合约实际参与衍生品交易的名义金额。 对于已有效对</w:t>
      </w:r>
      <w:proofErr w:type="gramStart"/>
      <w:r>
        <w:t>冲风险</w:t>
      </w:r>
      <w:proofErr w:type="gramEnd"/>
      <w:r>
        <w:t>的投资组合，按投资规模总额的 1%计算，投资规模为多头规模的绝对值与空头规模 的绝对值之</w:t>
      </w:r>
      <w:proofErr w:type="gramStart"/>
      <w:r>
        <w:t>和</w:t>
      </w:r>
      <w:proofErr w:type="gramEnd"/>
      <w:r>
        <w:t>。私募资管计划、信托产品、基金专户等产品按期末净值规模计算。</w:t>
      </w:r>
    </w:p>
    <w:sectPr w:rsidR="00DE3E1C" w:rsidRPr="00DE3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040"/>
    <w:rsid w:val="00081040"/>
    <w:rsid w:val="001B09C0"/>
    <w:rsid w:val="00201204"/>
    <w:rsid w:val="00240983"/>
    <w:rsid w:val="002F1B73"/>
    <w:rsid w:val="00411BCD"/>
    <w:rsid w:val="0043539C"/>
    <w:rsid w:val="00494D43"/>
    <w:rsid w:val="004D0C0F"/>
    <w:rsid w:val="008B64E7"/>
    <w:rsid w:val="008B7A69"/>
    <w:rsid w:val="00A657F0"/>
    <w:rsid w:val="00B84F86"/>
    <w:rsid w:val="00BC7BE8"/>
    <w:rsid w:val="00C96ECA"/>
    <w:rsid w:val="00D54794"/>
    <w:rsid w:val="00DE3E1C"/>
    <w:rsid w:val="00EA5209"/>
    <w:rsid w:val="00EB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57426"/>
  <w15:chartTrackingRefBased/>
  <w15:docId w15:val="{6C077F64-FCFA-4020-9446-74DC74E0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4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4D0C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huangyan</dc:creator>
  <cp:keywords/>
  <dc:description/>
  <cp:lastModifiedBy>huangyan</cp:lastModifiedBy>
  <cp:revision>18</cp:revision>
  <dcterms:created xsi:type="dcterms:W3CDTF">2021-05-13T23:58:00Z</dcterms:created>
  <dcterms:modified xsi:type="dcterms:W3CDTF">2021-11-14T01:35:00Z</dcterms:modified>
</cp:coreProperties>
</file>