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6342" w14:textId="1E4E9345" w:rsidR="007B566E" w:rsidRDefault="00921434" w:rsidP="00064A32">
      <w:pP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1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、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2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021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四季度资产减值加信用减值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3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.44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亿，依然赚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4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.5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个亿。</w:t>
      </w:r>
      <w:r w:rsidR="000D2945"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卖子公司影响较大。</w:t>
      </w:r>
    </w:p>
    <w:p w14:paraId="5C0B26BA" w14:textId="489C06E6" w:rsidR="000D2945" w:rsidRDefault="000D2945" w:rsidP="00064A32">
      <w:pP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2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、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2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022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一季度投资收益为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1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.3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亿。</w:t>
      </w:r>
    </w:p>
    <w:p w14:paraId="24C1913B" w14:textId="381BBABB" w:rsidR="00011A8D" w:rsidRDefault="00011A8D" w:rsidP="00064A32">
      <w:pP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3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、现金流净额较差，受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B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T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和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P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PP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项目回购周期影响。</w:t>
      </w:r>
    </w:p>
    <w:p w14:paraId="1AD75FCB" w14:textId="0B4B6A26" w:rsidR="00B206A4" w:rsidRPr="00011A8D" w:rsidRDefault="00B206A4" w:rsidP="00064A32">
      <w:pPr>
        <w:rPr>
          <w:rFonts w:hint="eastAsia"/>
        </w:rPr>
      </w:pP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4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、预计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2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022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年利润翻倍，对应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P</w:t>
      </w: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E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为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5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倍左右。</w:t>
      </w:r>
    </w:p>
    <w:sectPr w:rsidR="00B206A4" w:rsidRPr="0001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74"/>
    <w:rsid w:val="00011A8D"/>
    <w:rsid w:val="00064A32"/>
    <w:rsid w:val="000D2945"/>
    <w:rsid w:val="007B566E"/>
    <w:rsid w:val="00921434"/>
    <w:rsid w:val="00937F74"/>
    <w:rsid w:val="00B2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71A3"/>
  <w15:chartTrackingRefBased/>
  <w15:docId w15:val="{5851B8E6-1AF2-4F5E-87BB-397ACFAD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4A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A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64A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4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8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huangyan4@genomics.cn</dc:creator>
  <cp:keywords/>
  <dc:description/>
  <cp:lastModifiedBy>huangyan4@genomics.cn</cp:lastModifiedBy>
  <cp:revision>5</cp:revision>
  <dcterms:created xsi:type="dcterms:W3CDTF">2022-03-19T08:36:00Z</dcterms:created>
  <dcterms:modified xsi:type="dcterms:W3CDTF">2022-04-30T03:32:00Z</dcterms:modified>
</cp:coreProperties>
</file>