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3BC8" w14:textId="53A50AF9" w:rsidR="002F1B73" w:rsidRDefault="00EB6193">
      <w:pPr>
        <w:rPr>
          <w:rFonts w:ascii="微软雅黑" w:eastAsia="微软雅黑" w:hAnsi="微软雅黑"/>
          <w:color w:val="4D4F53"/>
          <w:spacing w:val="15"/>
          <w:szCs w:val="21"/>
        </w:rPr>
      </w:pPr>
      <w:r w:rsidRPr="00EB6193">
        <w:rPr>
          <w:rFonts w:ascii="微软雅黑" w:eastAsia="微软雅黑" w:hAnsi="微软雅黑" w:hint="eastAsia"/>
          <w:color w:val="4D4F53"/>
          <w:spacing w:val="15"/>
          <w:szCs w:val="21"/>
        </w:rPr>
        <w:t>在确保2021年全面实现钢铁产量同比下降的目标之下，叠加“能耗双控”政策影响，三季度粗钢产量大幅下降15%，四季度还将继续压减粗钢产量。</w:t>
      </w:r>
    </w:p>
    <w:p w14:paraId="7DA2C5C6" w14:textId="31BF0219" w:rsidR="00EB6193" w:rsidRDefault="00EB6193">
      <w:pPr>
        <w:rPr>
          <w:rFonts w:ascii="微软雅黑" w:eastAsia="微软雅黑" w:hAnsi="微软雅黑"/>
          <w:color w:val="4D4F53"/>
          <w:spacing w:val="15"/>
          <w:szCs w:val="21"/>
        </w:rPr>
      </w:pPr>
      <w:r w:rsidRPr="00EB6193">
        <w:rPr>
          <w:rFonts w:ascii="微软雅黑" w:eastAsia="微软雅黑" w:hAnsi="微软雅黑" w:hint="eastAsia"/>
          <w:color w:val="4D4F53"/>
          <w:spacing w:val="15"/>
          <w:szCs w:val="21"/>
        </w:rPr>
        <w:t>由于资源和能源价格大幅上升等原因，企业降本增效难度增加，钢铁企业未来盈利水平面临下降趋势。</w:t>
      </w:r>
    </w:p>
    <w:p w14:paraId="07C05805" w14:textId="13D7E561" w:rsidR="00EB6193" w:rsidRPr="00EB6193" w:rsidRDefault="00EB6193">
      <w:pPr>
        <w:rPr>
          <w:rFonts w:hint="eastAsia"/>
          <w:szCs w:val="21"/>
        </w:rPr>
      </w:pPr>
      <w:r>
        <w:rPr>
          <w:rFonts w:ascii="微软雅黑" w:eastAsia="微软雅黑" w:hAnsi="微软雅黑" w:hint="eastAsia"/>
          <w:color w:val="4D4F53"/>
          <w:spacing w:val="15"/>
          <w:szCs w:val="21"/>
        </w:rPr>
        <w:t>结论：钢企成本与铁矿和煤价呈现相关性。</w:t>
      </w:r>
    </w:p>
    <w:sectPr w:rsidR="00EB6193" w:rsidRPr="00EB61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40"/>
    <w:rsid w:val="00081040"/>
    <w:rsid w:val="002F1B73"/>
    <w:rsid w:val="0043539C"/>
    <w:rsid w:val="00C96ECA"/>
    <w:rsid w:val="00EB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57426"/>
  <w15:chartTrackingRefBased/>
  <w15:docId w15:val="{6C077F64-FCFA-4020-9446-74DC74E0B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huangyan</dc:creator>
  <cp:keywords/>
  <dc:description/>
  <cp:lastModifiedBy>huangyan</cp:lastModifiedBy>
  <cp:revision>4</cp:revision>
  <dcterms:created xsi:type="dcterms:W3CDTF">2021-05-13T23:58:00Z</dcterms:created>
  <dcterms:modified xsi:type="dcterms:W3CDTF">2021-11-07T06:52:00Z</dcterms:modified>
</cp:coreProperties>
</file>