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F86FD" w14:textId="1E2E5994" w:rsidR="00125236" w:rsidRDefault="00831467">
      <w:r>
        <w:rPr>
          <w:rFonts w:hint="eastAsia"/>
        </w:rPr>
        <w:t>国电电力</w:t>
      </w:r>
      <w:r>
        <w:t>2020</w:t>
      </w:r>
      <w:r>
        <w:rPr>
          <w:rFonts w:hint="eastAsia"/>
        </w:rPr>
        <w:t>半年报业绩全面下降，但是股价已开启反弹，其后一年股价接近翻倍。</w:t>
      </w:r>
    </w:p>
    <w:sectPr w:rsidR="001252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825"/>
    <w:rsid w:val="00091825"/>
    <w:rsid w:val="00125236"/>
    <w:rsid w:val="00831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577BB"/>
  <w15:chartTrackingRefBased/>
  <w15:docId w15:val="{BEF33517-7ED6-4E50-B351-68B992542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huangyan</dc:creator>
  <cp:keywords/>
  <dc:description/>
  <cp:lastModifiedBy>huangyan</cp:lastModifiedBy>
  <cp:revision>2</cp:revision>
  <dcterms:created xsi:type="dcterms:W3CDTF">2021-10-07T01:19:00Z</dcterms:created>
  <dcterms:modified xsi:type="dcterms:W3CDTF">2021-10-07T01:22:00Z</dcterms:modified>
</cp:coreProperties>
</file>