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</w:pPr>
      <w:r>
        <w:t>财务异常识别与舞弊风险核验</w:t>
      </w:r>
    </w:p>
    <w:p>
      <w:pPr>
        <w:pStyle w:val="Title"/>
      </w:pPr>
      <w:r>
        <w:t>多智能体协同方案修订大纲</w:t>
      </w:r>
    </w:p>
    <w:p>
      <w:pPr/>
      <w:r>
        <w:t>2026年9月21日修订</w:t>
      </w:r>
    </w:p>
    <w:p>
      <w:pPr/>
      <w:r>
        <w:t>本方案面向竞赛方向二，采用云端 API、本地轻量 Web 和本地统计计算，先完成基础财报分析，再调查异常并独立核验依据。项目目前已建立目录骨架，模型接入、业务功能、数据集与实验结果均待实施。本稿用于确定开发范围及编写参赛计划书。</w:t>
      </w:r>
    </w:p>
    <w:p>
      <w:pPr>
        <w:pStyle w:val="Heading1"/>
      </w:pPr>
      <w:r>
        <w:t>一 方案定位</w:t>
      </w:r>
    </w:p>
    <w:p>
      <w:pPr/>
      <w:r>
        <w:t>面向上市公司年度、半年度及季度报告，识别业绩变化和财务异常，形成可追溯的风险线索、规则风险指数及分析报告。系统辅助研究人员核查，不以异常信号直接认定舞弊，不把未触发规则解释为已经排除舞弊。</w:t>
      </w:r>
    </w:p>
    <w:p>
      <w:pPr/>
      <w:r>
        <w:t>核心目标是让财报分析中的数字、引用和结论依据能够独立核验，并通过实验测量该机制能否减少事实错误、无依据主张及误报。事实、推论、观点和待核查事项分别呈现。</w:t>
      </w:r>
    </w:p>
    <w:p>
      <w:pPr/>
      <w:r>
        <w:t>第一版优先选择人民币披露、报表口径可比的境内非金融上市公司，支持文本型 PDF 年报，并用配套半年报、季报验证同比和单季环比。复杂扫描件和特殊金融行业报表暂不纳入自动分析的承诺范围，无法可靠解析的内容明确转人工处理。</w:t>
      </w:r>
    </w:p>
    <w:p>
      <w:pPr>
        <w:pStyle w:val="Heading1"/>
      </w:pPr>
      <w:r>
        <w:t>二 总体思路</w:t>
      </w:r>
    </w:p>
    <w:p>
      <w:pPr>
        <w:pStyle w:val="ProposalBullet"/>
      </w:pPr>
      <w:r>
        <w:t>•  将任务拆为材料登记、数据提取、基础计算、异常调查、证据汇总、独立核验和报告生成，各步骤有明确输入、输出和失败状态。</w:t>
      </w:r>
    </w:p>
    <w:p>
      <w:pPr>
        <w:pStyle w:val="ProposalBullet"/>
      </w:pPr>
      <w:r>
        <w:t>•  采用“大模型组织分析 + 本地程序计算与核验”。云端模型负责规划、材料解释和补充核查；数值结果由本地 Python 产生，第一版不训练分类器或微调大模型。</w:t>
      </w:r>
    </w:p>
    <w:p>
      <w:pPr>
        <w:pStyle w:val="ProposalBullet"/>
      </w:pPr>
      <w:r>
        <w:t>•  优先完成方向二要求的业绩变化、同比环比、非经常性损益、会计口径变化及利润与现金流背离分析，再形成风险线索。</w:t>
      </w:r>
    </w:p>
    <w:p>
      <w:pPr>
        <w:pStyle w:val="ProposalBullet"/>
      </w:pPr>
      <w:r>
        <w:t>•  MD&amp;A 即管理层讨论与分析，主要用于核对公司经营解释是否与财务数字一致。情绪积极、措辞模糊等文本特征只作辅助提示，不能独立支撑舞弊判断。</w:t>
      </w:r>
    </w:p>
    <w:p>
      <w:pPr>
        <w:pStyle w:val="ProposalBullet"/>
      </w:pPr>
      <w:r>
        <w:t>•  保留多角色分工，但角色不必对应不同模型或独立服务。第一版可共用一个云端主力模型，不能把多次调用或模型相互认可当作独立验证。</w:t>
      </w:r>
    </w:p>
    <w:p>
      <w:pPr>
        <w:pStyle w:val="Heading1"/>
      </w:pPr>
      <w:r>
        <w:t>三 总体架构</w:t>
      </w:r>
    </w:p>
    <w:p>
      <w:pPr>
        <w:pStyle w:val="ProposalBullet"/>
      </w:pPr>
      <w:r>
        <w:t>•  展示层：React 本地 Web 提供导入、任务进度、基础分析、异常列表、原文定位、核验状态及报告导出。</w:t>
      </w:r>
    </w:p>
    <w:p>
      <w:pPr>
        <w:pStyle w:val="ProposalBullet"/>
      </w:pPr>
      <w:r>
        <w:t>•  服务与编排层：FastAPI 接收任务。LangGraph 是第一版唯一的智能体编排框架，由 Manager Agent 用它安排检索、工具调用、汇总、补检与停止条件，并控制状态、调用预算和补检次数。</w:t>
      </w:r>
    </w:p>
    <w:p>
      <w:pPr>
        <w:pStyle w:val="ProposalBullet"/>
      </w:pPr>
      <w:r>
        <w:t>•  分析层：数据提取、异常调查、文本分析、证据汇总、独立核验与报告生成分别承担清晰职责。</w:t>
      </w:r>
    </w:p>
    <w:p>
      <w:pPr>
        <w:pStyle w:val="ProposalBullet"/>
      </w:pPr>
      <w:r>
        <w:t>•  本地工具层：PDF 解析、字段标准化、页码和表格检索、财务公式、统计筛查、独立数值校验及引用检查。前端不保存模型密钥，不维护另一套财务公式。</w:t>
      </w:r>
    </w:p>
    <w:p>
      <w:pPr>
        <w:pStyle w:val="ProposalBullet"/>
      </w:pPr>
      <w:r>
        <w:t>•  数据层：原始财报、MD&amp;A 和允许使用的同期公告组成分析资料；事后处罚、人工答案和评测标签单独隔离，不能进入历史分析检索范围。</w:t>
      </w:r>
    </w:p>
    <w:p>
      <w:pPr>
        <w:pStyle w:val="ProposalBullet"/>
      </w:pPr>
      <w:r>
        <w:t>•  记录层：按唯一 run_id 关联材料、模型请求与返回、工具调用、计算、核验、报告及错误记录。</w:t>
      </w:r>
    </w:p>
    <w:p>
      <w:pPr/>
      <w:r>
        <w:t>代码职责沿用项目骨架：agents 负责规划编排，tools 适配已有能力，finance 负责确定性计算，verification 负责核验，llm 负责云端接口，audit 负责运行记录。保持这些边界，避免每个智能体重复实现公式和解析逻辑。</w:t>
      </w:r>
    </w:p>
    <w:p>
      <w:pPr>
        <w:pStyle w:val="Heading1"/>
      </w:pPr>
      <w:r>
        <w:t>四 技术栈与开发工具</w:t>
      </w:r>
    </w:p>
    <w:p>
      <w:pPr/>
      <w:r>
        <w:t>第一版只采用 LangGraph 作为唯一智能体编排框架，用明确流程和条件分支安排检索、工具调用、汇总、补检与停止条件。React + TypeScript + Vite、FastAPI、云端模型 API 和本地 Python 计算仍按原职责保留，它们不是新增的智能体编排框架。其官方文档介绍了预定义工作流与动态智能体流程，可作为编排设计参考。</w:t>
      </w:r>
      <w:hyperlink r:id="rId8">
        <w:r>
          <w:rPr>
            <w:color w:val="1F4E79"/>
            <w:u w:val="single"/>
          </w:rPr>
          <w:t>LangGraph 工作流与智能体文档</w:t>
        </w:r>
      </w:hyperlink>
      <w:r/>
    </w:p>
    <w:p>
      <w:pPr>
        <w:pStyle w:val="ProposalBullet"/>
      </w:pPr>
      <w:r>
        <w:t>•  前端：React + TypeScript + Vite；后端：Python + FastAPI；前后端均在本地运行。</w:t>
      </w:r>
    </w:p>
    <w:p>
      <w:pPr>
        <w:pStyle w:val="ProposalBullet"/>
      </w:pPr>
      <w:r>
        <w:t>•  模型：后端调用云端 API，优先评估国产模型的中文财报理解、结构化输出、工具调用、稳定性及费用。供应方、型号和具体版本尚未选定。</w:t>
      </w:r>
    </w:p>
    <w:p>
      <w:pPr>
        <w:pStyle w:val="ProposalBullet"/>
      </w:pPr>
      <w:r>
        <w:t>•  计算：本地 Python 执行指标、规则、描述统计与数值核验，不要求本地 GPU。</w:t>
      </w:r>
    </w:p>
    <w:p>
      <w:pPr>
        <w:pStyle w:val="ProposalBullet"/>
      </w:pPr>
      <w:r>
        <w:t>•  检索与存储：先用本地文件和页码、表格、关键词索引；向量检索根据实际召回问题决定是否增加。</w:t>
      </w:r>
    </w:p>
    <w:p>
      <w:pPr>
        <w:pStyle w:val="ProposalBullet"/>
      </w:pPr>
      <w:r>
        <w:t>•  开发与复现：可使用 VS Code；锁定前后端依赖并提供本地启动说明。Docker 为后续复现选项，不作为第一版运行前提。</w:t>
      </w:r>
    </w:p>
    <w:p>
      <w:pPr>
        <w:pStyle w:val="ProposalBullet"/>
      </w:pPr>
      <w:r>
        <w:t>•  范围收缩：第一版只采用 LangGraph 组织分析流程，不额外引入智能体编排框架或可视化搭建平台；不建设云端业务平台、分布式集群或本地模型服务。</w:t>
      </w:r>
    </w:p>
    <w:p>
      <w:pPr/>
      <w:r>
        <w:t>仅向云端发送本任务需要且允许外发的证据片段；文件、索引、计算和运行档案留在本地。实际运行限定输入资料与模型端点，不开放任意互联网检索。API 密钥通过后端环境变量读取，前端及日志不含凭据。现场是否允许模型联网须依据组委会环境说明核实，本地 Web 不等于离线系统。</w:t>
      </w:r>
    </w:p>
    <w:p>
      <w:pPr/>
      <w:r>
        <w:t>参考项目仅借鉴方法，第一版不直接引入完整框架：</w:t>
      </w:r>
    </w:p>
    <w:p>
      <w:pPr>
        <w:pStyle w:val="ProposalBullet"/>
      </w:pPr>
      <w:r>
        <w:t xml:space="preserve">•  </w:t>
      </w:r>
      <w:hyperlink r:id="rId9">
        <w:r>
          <w:rPr>
            <w:color w:val="1F4E79"/>
            <w:u w:val="single"/>
          </w:rPr>
          <w:t>Multi-Agent AI Systems for Financial Fraud Detection</w:t>
        </w:r>
      </w:hyperlink>
      <w:r>
        <w:t>：其说明主要围绕交易反欺诈，可借鉴统计检测与证据汇总、报告生成的职责划分；其中效果不能作为本项目财报识别效果的依据。</w:t>
      </w:r>
    </w:p>
    <w:p>
      <w:pPr>
        <w:pStyle w:val="ProposalBullet"/>
      </w:pPr>
      <w:r>
        <w:t xml:space="preserve">•  </w:t>
      </w:r>
      <w:hyperlink r:id="rId10">
        <w:r>
          <w:rPr>
            <w:color w:val="1F4E79"/>
            <w:u w:val="single"/>
          </w:rPr>
          <w:t>TraceArena</w:t>
        </w:r>
      </w:hyperlink>
      <w:r>
        <w:t>：参考其可审计评估、统一证据边界和运行回放机制，不把该项目的投资智能体评估等同于财报舞弊验证。</w:t>
      </w:r>
    </w:p>
    <w:p>
      <w:pPr/>
      <w:r>
        <w:t>原列 AgentBreach、autogen-financial-analysis 尚未明确仓库、版本与不可替代用途，暂不列为开发依赖。实际使用第三方代码或数据前，记录名称、版本或提交号、来源、许可证及具体借鉴范围。</w:t>
      </w:r>
    </w:p>
    <w:p>
      <w:pPr>
        <w:pStyle w:val="Heading1"/>
      </w:pPr>
      <w:r>
        <w:t>五 多智能体分工</w:t>
      </w:r>
    </w:p>
    <w:p>
      <w:pPr>
        <w:pStyle w:val="ProposalBullet"/>
      </w:pPr>
      <w:r>
        <w:t>•  Manager Agent：输入任务、材料白名单及预算；输出执行计划、节点状态和补充核查任务，管理有限循环，不绕过核验节点。</w:t>
      </w:r>
    </w:p>
    <w:p>
      <w:pPr>
        <w:pStyle w:val="ProposalBullet"/>
      </w:pPr>
      <w:r>
        <w:t>•  数据提取 Agent：调用本地解析与标准化工具，输出带原文位置的候选财务事实、文本片段和提取缺口。模型辅助提取结果仍需核验。</w:t>
      </w:r>
    </w:p>
    <w:p>
      <w:pPr>
        <w:pStyle w:val="ProposalBullet"/>
      </w:pPr>
      <w:r>
        <w:t>•  异常检测 Agent：调用 finance 的公式和规则，输出基础分析表、计算明细及候选异常；不使用自然语言心算结果替代程序输出。</w:t>
      </w:r>
    </w:p>
    <w:p>
      <w:pPr>
        <w:pStyle w:val="ProposalBullet"/>
      </w:pPr>
      <w:r>
        <w:t>•  文本分析 Agent：对照 MD&amp;A、附注与数字，输出公司解释、支持证据、差异及替代解释。缺少价格、销量等分解材料时，不编造业绩变化原因。</w:t>
      </w:r>
    </w:p>
    <w:p>
      <w:pPr>
        <w:pStyle w:val="ProposalBullet"/>
      </w:pPr>
      <w:r>
        <w:t>•  融合决策 Agent：整理候选主张、冲突和证据，调用公开规则形成待核验指数；不能自行编造权重或把解释文字当作新增事实。</w:t>
      </w:r>
    </w:p>
    <w:p>
      <w:pPr>
        <w:pStyle w:val="ProposalBullet"/>
      </w:pPr>
      <w:r>
        <w:t>•  独立核验 Agent：组织 verification 执行原文数字核对、公式独立检查与重算、引用支持检查、跨模块冲突检查，输出检查依据、检查方式及三态结果。模型只辅助解释差异和安排补检。</w:t>
      </w:r>
    </w:p>
    <w:p>
      <w:pPr>
        <w:pStyle w:val="ProposalBullet"/>
      </w:pPr>
      <w:r>
        <w:t>•  报告生成 Agent：使用通过核验的事实和计算生成报告，另列冲突、证据不足、适用边界及人工复核事项。对报告中的数值和引用再做一致性检查。</w:t>
      </w:r>
    </w:p>
    <w:p>
      <w:pPr/>
      <w:r>
        <w:t>独立性体现在依据和检查路径：核验模块回到原页、表头、单位与单元格，不能只读取分析端已提取的同一个值；公式核验使用独立检查规则及人工算例，重复调用原函数仅算回放。原文模糊、解析路径无法独立确认或语义支持有争议时，交人工对照。第二个模型的同意不能单独产生“通过”结论。</w:t>
      </w:r>
    </w:p>
    <w:p>
      <w:pPr/>
      <w:r>
        <w:t>核验按主张逐项记录，汇总时不得掩盖局部失败：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32"/>
        <w:gridCol w:w="4365"/>
        <w:gridCol w:w="3317"/>
      </w:tblGrid>
      <w:tr>
        <w:trPr>
          <w:cantSplit/>
          <w:tblHeader/>
        </w:trPr>
        <w:tc>
          <w:tcPr>
            <w:tcW w:type="dxa" w:w="1332"/>
            <w:vAlign w:val="center"/>
            <w:shd w:fill="E8EEF4"/>
          </w:tcPr>
          <w:p>
            <w:pPr>
              <w:pStyle w:val="ProposalTable"/>
              <w:jc w:val="center"/>
            </w:pPr>
            <w:r>
              <w:rPr>
                <w:b/>
              </w:rPr>
              <w:t>状态</w:t>
            </w:r>
          </w:p>
        </w:tc>
        <w:tc>
          <w:tcPr>
            <w:tcW w:type="dxa" w:w="4365"/>
            <w:vAlign w:val="center"/>
            <w:shd w:fill="E8EEF4"/>
          </w:tcPr>
          <w:p>
            <w:pPr>
              <w:pStyle w:val="ProposalTable"/>
              <w:jc w:val="left"/>
            </w:pPr>
            <w:r>
              <w:rPr>
                <w:b/>
              </w:rPr>
              <w:t>判定条件</w:t>
            </w:r>
          </w:p>
        </w:tc>
        <w:tc>
          <w:tcPr>
            <w:tcW w:type="dxa" w:w="3317"/>
            <w:vAlign w:val="center"/>
            <w:shd w:fill="E8EEF4"/>
          </w:tcPr>
          <w:p>
            <w:pPr>
              <w:pStyle w:val="ProposalTable"/>
              <w:jc w:val="left"/>
            </w:pPr>
            <w:r>
              <w:rPr>
                <w:b/>
              </w:rPr>
              <w:t>后续处理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ProposalTable"/>
              <w:jc w:val="center"/>
            </w:pPr>
            <w:r>
              <w:t>通过</w:t>
            </w:r>
          </w:p>
        </w:tc>
        <w:tc>
          <w:tcPr>
            <w:tcW w:type="dxa" w:w="4365"/>
            <w:vAlign w:val="center"/>
          </w:tcPr>
          <w:p>
            <w:pPr>
              <w:pStyle w:val="ProposalTable"/>
              <w:jc w:val="left"/>
            </w:pPr>
            <w:r>
              <w:t>必需检查完成，数字、口径、计算与引用相符</w:t>
            </w:r>
          </w:p>
        </w:tc>
        <w:tc>
          <w:tcPr>
            <w:tcW w:type="dxa" w:w="3317"/>
            <w:vAlign w:val="center"/>
          </w:tcPr>
          <w:p>
            <w:pPr>
              <w:pStyle w:val="ProposalTable"/>
              <w:jc w:val="left"/>
            </w:pPr>
            <w:r>
              <w:t>纳入已核验部分，注明通过的检查范围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ProposalTable"/>
              <w:jc w:val="center"/>
            </w:pPr>
            <w:r>
              <w:t>存在冲突</w:t>
            </w:r>
          </w:p>
        </w:tc>
        <w:tc>
          <w:tcPr>
            <w:tcW w:type="dxa" w:w="4365"/>
            <w:vAlign w:val="center"/>
          </w:tcPr>
          <w:p>
            <w:pPr>
              <w:pStyle w:val="ProposalTable"/>
              <w:jc w:val="left"/>
            </w:pPr>
            <w:r>
              <w:t>原文与提取值、计算或模块结论存在可定位矛盾</w:t>
            </w:r>
          </w:p>
        </w:tc>
        <w:tc>
          <w:tcPr>
            <w:tcW w:type="dxa" w:w="3317"/>
            <w:vAlign w:val="center"/>
          </w:tcPr>
          <w:p>
            <w:pPr>
              <w:pStyle w:val="ProposalTable"/>
              <w:jc w:val="left"/>
            </w:pPr>
            <w:r>
              <w:t>返回提取、计算或分析节点纠正并重验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ProposalTable"/>
              <w:jc w:val="center"/>
            </w:pPr>
            <w:r>
              <w:t>证据不足</w:t>
            </w:r>
          </w:p>
        </w:tc>
        <w:tc>
          <w:tcPr>
            <w:tcW w:type="dxa" w:w="4365"/>
            <w:vAlign w:val="center"/>
          </w:tcPr>
          <w:p>
            <w:pPr>
              <w:pStyle w:val="ProposalTable"/>
              <w:jc w:val="left"/>
            </w:pPr>
            <w:r>
              <w:t>原文不清、材料缺失、引用不支持或比较口径不明</w:t>
            </w:r>
          </w:p>
        </w:tc>
        <w:tc>
          <w:tcPr>
            <w:tcW w:type="dxa" w:w="3317"/>
            <w:vAlign w:val="center"/>
          </w:tcPr>
          <w:p>
            <w:pPr>
              <w:pStyle w:val="ProposalTable"/>
              <w:jc w:val="left"/>
            </w:pPr>
            <w:r>
              <w:t>补检或转人工，暂缓相关结论及评分</w:t>
            </w:r>
          </w:p>
        </w:tc>
      </w:tr>
    </w:tbl>
    <w:p>
      <w:pPr>
        <w:spacing w:after="0" w:line="240" w:lineRule="auto"/>
      </w:pPr>
      <w:r>
        <w:rPr>
          <w:sz w:val="4"/>
        </w:rPr>
      </w:r>
    </w:p>
    <w:p>
      <w:pPr/>
      <w:r>
        <w:t>拟将自动补检上限设为每条问题 2 轮，并受任务总调用预算约束。超过上限、关键口径仍冲突或需要新增材料授权时转人工。人工修正保留修正前后值及依据，再运行受影响的计算和核验；不会将整份报告默认为通过。</w:t>
      </w:r>
    </w:p>
    <w:p>
      <w:pPr>
        <w:pStyle w:val="Heading1"/>
      </w:pPr>
      <w:r>
        <w:t>六 数据与标注</w:t>
      </w:r>
    </w:p>
    <w:p>
      <w:pPr/>
      <w:r>
        <w:t>拟从</w:t>
      </w:r>
      <w:hyperlink r:id="rId11">
        <w:r>
          <w:rPr>
            <w:color w:val="1F4E79"/>
            <w:u w:val="single"/>
          </w:rPr>
          <w:t>巨潮资讯网</w:t>
        </w:r>
      </w:hyperlink>
      <w:r>
        <w:t>和</w:t>
      </w:r>
      <w:hyperlink r:id="rId12">
        <w:r>
          <w:rPr>
            <w:color w:val="1F4E79"/>
            <w:u w:val="single"/>
          </w:rPr>
          <w:t>上海证券交易所公告入口</w:t>
        </w:r>
      </w:hyperlink>
      <w:r>
        <w:t>获取定期报告及相关公告，先人工筛选可获得的公开材料。监管认定应回到主管机构公开决定原文，不用新闻摘要代替认定事项和期间。当前尚未建立数据集。</w:t>
      </w:r>
    </w:p>
    <w:p>
      <w:pPr>
        <w:pStyle w:val="ProposalBullet"/>
      </w:pPr>
      <w:r>
        <w:t>•  样本单位为“公司 + 报告期”，另记录报告类型、文件版本与分析截止时间。同一公司不同年份不自动共用标签。</w:t>
      </w:r>
    </w:p>
    <w:p>
      <w:pPr>
        <w:pStyle w:val="ProposalBullet"/>
      </w:pPr>
      <w:r>
        <w:t>•  正例须有涉及财务虚假记载等相关事项的明确认定，并能映射到受影响财报及期间；记录认定原文、决定编号、发布日期和受影响事项。一般违规或与目标财报无关的处罚不算财报舞弊正例。</w:t>
      </w:r>
    </w:p>
    <w:p>
      <w:pPr>
        <w:pStyle w:val="ProposalBullet"/>
      </w:pPr>
      <w:r>
        <w:t>•  对照标为“截至标签截止日未发现相关认定”，记录检索渠道与观察窗口，不称“确认无舞弊”。只有问询、立案、传闻或期间映射不明的样本列为未知或争议，不强行二分。</w:t>
      </w:r>
    </w:p>
    <w:p>
      <w:pPr>
        <w:pStyle w:val="ProposalBullet"/>
      </w:pPr>
      <w:r>
        <w:t>•  分别记录分析材料截止时间与标签观察截止时间。例如 2024 年处罚认定 2021 年财报有问题，标签对应 2021 年财报；处罚文件不能进入早期历史分析输入。</w:t>
      </w:r>
    </w:p>
    <w:p>
      <w:pPr>
        <w:pStyle w:val="ProposalBullet"/>
      </w:pPr>
      <w:r>
        <w:t>•  标签由两名成员分别核对，分歧复核并保留记录；真实样本、人工构造错误和模拟数据分别标注。</w:t>
      </w:r>
    </w:p>
    <w:p>
      <w:pPr>
        <w:pStyle w:val="ProposalBullet"/>
      </w:pPr>
      <w:r>
        <w:t>•  保留公司隔离评估，增加披露时间边界；同公司相邻期间、同报告修订版及衍生片段不得跨集合。采样、平衡及预处理拟合仅在训练数据内进行。</w:t>
      </w:r>
    </w:p>
    <w:p>
      <w:pPr/>
      <w:r>
        <w:t>原件保存在 data/raw/，解析和标准化结果进入 data/processed/，受控演示材料进入 data/samples/，标签与人工期望进入隔离的 evaluation/cases/ 资料区。每份文档记录来源、发布日期、获取时间、哈希及使用条件，不能覆盖原件。</w:t>
      </w:r>
    </w:p>
    <w:p>
      <w:pPr/>
      <w:r>
        <w:t>每个财务事实保留文件标识、PDF 页序号与原文页码、表格行列或片段、原始值、规范化值、单位、币种、报告期、年度或累计口径、合并或母公司口径及是否追溯调整。修正过程可追踪，缺失值不当零，口径冲突不静默拼接。</w:t>
      </w:r>
    </w:p>
    <w:p>
      <w:pPr>
        <w:pStyle w:val="Heading1"/>
      </w:pPr>
      <w:r>
        <w:t>七 模型与算法</w:t>
      </w:r>
    </w:p>
    <w:p>
      <w:pPr>
        <w:pStyle w:val="Heading2"/>
      </w:pPr>
      <w:r>
        <w:t>基础计算及适用条件</w:t>
      </w:r>
    </w:p>
    <w:p>
      <w:pPr>
        <w:pStyle w:val="ProposalBullet"/>
      </w:pPr>
      <w:r>
        <w:t>•  同比：可比且基期为正时，增长率为“本期值 / 上年同期值 - 1”。基期为零、负数或口径不可比时，报告绝对变化、盈亏转换或不可比原因，不强行输出通常意义的增速。</w:t>
      </w:r>
    </w:p>
    <w:p>
      <w:pPr>
        <w:pStyle w:val="ProposalBullet"/>
      </w:pPr>
      <w:r>
        <w:t>•  环比：针对流量指标先从累计值取得单季值，例如第二季度等于上半年减第一季度，第三季度等于前三季度减上半年，再比较相邻季度。年度减前三季度取得第四季度前需检查调整及口径。资产负债表时点余额不能按此方法还原为单季流量。</w:t>
      </w:r>
    </w:p>
    <w:p>
      <w:pPr>
        <w:pStyle w:val="ProposalBullet"/>
      </w:pPr>
      <w:r>
        <w:t>•  利润与现金流：比较同期间、同合并范围的净利润与经营活动现金流量净额，结合应收、存货和支付时点分析差异；不得把合并现金流直接与母公司单体利润混用。</w:t>
      </w:r>
    </w:p>
    <w:p>
      <w:pPr>
        <w:pStyle w:val="ProposalBullet"/>
      </w:pPr>
      <w:r>
        <w:t>•  非经常性损益：对照归母净利润、扣非归母净利润及披露的非经常性损益明细，核查扣除项目与解释；税后归母口径须保持一致。</w:t>
      </w:r>
    </w:p>
    <w:p>
      <w:pPr>
        <w:pStyle w:val="ProposalBullet"/>
      </w:pPr>
      <w:r>
        <w:t>•  口径与勾稽：识别会计政策变更、重述、合并范围变化及单位差异；可比基础确认后再计算。资产负债和现金流等勾稽校验考虑披露精度及四舍五入，容差随单位与精度记录。</w:t>
      </w:r>
    </w:p>
    <w:p>
      <w:pPr/>
      <w:r>
        <w:t>偿债、盈利、营运和现金流比率按明确公式本地计算。描述统计优先用于同公司历史变化；同行比较须先说明行业、期间和样本范围，样本不足时不输出具有普遍意义的异常分位。</w:t>
      </w:r>
    </w:p>
    <w:p>
      <w:pPr>
        <w:pStyle w:val="Heading2"/>
      </w:pPr>
      <w:r>
        <w:t>规则风险指数</w:t>
      </w:r>
    </w:p>
    <w:p>
      <w:pPr/>
      <w:r>
        <w:t>第一版拟采用透明的规则指数，不解释为舞弊概率。以下为待开发集审查的演示规则，不是行业标准或已经验证的预警模型；适用于口径可比的非金融公司年报。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61"/>
        <w:gridCol w:w="6293"/>
        <w:gridCol w:w="1361"/>
      </w:tblGrid>
      <w:tr>
        <w:trPr>
          <w:cantSplit/>
          <w:tblHeader/>
        </w:trPr>
        <w:tc>
          <w:tcPr>
            <w:tcW w:type="dxa" w:w="1361"/>
            <w:vAlign w:val="center"/>
            <w:shd w:fill="E8EEF4"/>
          </w:tcPr>
          <w:p>
            <w:pPr>
              <w:pStyle w:val="ProposalTable"/>
              <w:jc w:val="center"/>
            </w:pPr>
            <w:r>
              <w:rPr>
                <w:b/>
              </w:rPr>
              <w:t>规则</w:t>
            </w:r>
          </w:p>
        </w:tc>
        <w:tc>
          <w:tcPr>
            <w:tcW w:type="dxa" w:w="6293"/>
            <w:vAlign w:val="center"/>
            <w:shd w:fill="E8EEF4"/>
          </w:tcPr>
          <w:p>
            <w:pPr>
              <w:pStyle w:val="ProposalTable"/>
              <w:jc w:val="left"/>
            </w:pPr>
            <w:r>
              <w:rPr>
                <w:b/>
              </w:rPr>
              <w:t>拟定触发条件</w:t>
            </w:r>
          </w:p>
        </w:tc>
        <w:tc>
          <w:tcPr>
            <w:tcW w:type="dxa" w:w="1361"/>
            <w:vAlign w:val="center"/>
            <w:shd w:fill="E8EEF4"/>
          </w:tcPr>
          <w:p>
            <w:pPr>
              <w:pStyle w:val="ProposalTable"/>
              <w:jc w:val="center"/>
            </w:pPr>
            <w:r>
              <w:rPr>
                <w:b/>
              </w:rPr>
              <w:t>分值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ProposalTable"/>
              <w:jc w:val="center"/>
            </w:pPr>
            <w:r>
              <w:t>利润现金流背离</w:t>
            </w:r>
          </w:p>
        </w:tc>
        <w:tc>
          <w:tcPr>
            <w:tcW w:type="dxa" w:w="6293"/>
            <w:vAlign w:val="center"/>
          </w:tcPr>
          <w:p>
            <w:pPr>
              <w:pStyle w:val="ProposalTable"/>
              <w:jc w:val="left"/>
            </w:pPr>
            <w:r>
              <w:t>合并净利润大于零且经营活动现金流量净额小于零</w:t>
            </w:r>
          </w:p>
        </w:tc>
        <w:tc>
          <w:tcPr>
            <w:tcW w:type="dxa" w:w="1361"/>
            <w:vAlign w:val="center"/>
          </w:tcPr>
          <w:p>
            <w:pPr>
              <w:pStyle w:val="ProposalTable"/>
              <w:jc w:val="center"/>
            </w:pPr>
            <w:r>
              <w:t>25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ProposalTable"/>
              <w:jc w:val="center"/>
            </w:pPr>
            <w:r>
              <w:t>非经常性损益影响</w:t>
            </w:r>
          </w:p>
        </w:tc>
        <w:tc>
          <w:tcPr>
            <w:tcW w:type="dxa" w:w="6293"/>
            <w:vAlign w:val="center"/>
          </w:tcPr>
          <w:p>
            <w:pPr>
              <w:pStyle w:val="ProposalTable"/>
              <w:jc w:val="left"/>
            </w:pPr>
            <w:r>
              <w:t>归母净利润为正，且其与扣非归母净利润差额的绝对值占归母净利润达到 30%</w:t>
            </w:r>
          </w:p>
        </w:tc>
        <w:tc>
          <w:tcPr>
            <w:tcW w:type="dxa" w:w="1361"/>
            <w:vAlign w:val="center"/>
          </w:tcPr>
          <w:p>
            <w:pPr>
              <w:pStyle w:val="ProposalTable"/>
              <w:jc w:val="center"/>
            </w:pPr>
            <w:r>
              <w:t>25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ProposalTable"/>
              <w:jc w:val="center"/>
            </w:pPr>
            <w:r>
              <w:t>应收增长偏离</w:t>
            </w:r>
          </w:p>
        </w:tc>
        <w:tc>
          <w:tcPr>
            <w:tcW w:type="dxa" w:w="6293"/>
            <w:vAlign w:val="center"/>
          </w:tcPr>
          <w:p>
            <w:pPr>
              <w:pStyle w:val="ProposalTable"/>
              <w:jc w:val="left"/>
            </w:pPr>
            <w:r>
              <w:t>应收账款净额同比增速高于收入同比增速至少 20 个百分点</w:t>
            </w:r>
          </w:p>
        </w:tc>
        <w:tc>
          <w:tcPr>
            <w:tcW w:type="dxa" w:w="1361"/>
            <w:vAlign w:val="center"/>
          </w:tcPr>
          <w:p>
            <w:pPr>
              <w:pStyle w:val="ProposalTable"/>
              <w:jc w:val="center"/>
            </w:pPr>
            <w:r>
              <w:t>25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pStyle w:val="ProposalTable"/>
              <w:jc w:val="center"/>
            </w:pPr>
            <w:r>
              <w:t>存货增长偏离</w:t>
            </w:r>
          </w:p>
        </w:tc>
        <w:tc>
          <w:tcPr>
            <w:tcW w:type="dxa" w:w="6293"/>
            <w:vAlign w:val="center"/>
          </w:tcPr>
          <w:p>
            <w:pPr>
              <w:pStyle w:val="ProposalTable"/>
              <w:jc w:val="left"/>
            </w:pPr>
            <w:r>
              <w:t>存货净额同比增速高于营业成本同比增速至少 20 个百分点</w:t>
            </w:r>
          </w:p>
        </w:tc>
        <w:tc>
          <w:tcPr>
            <w:tcW w:type="dxa" w:w="1361"/>
            <w:vAlign w:val="center"/>
          </w:tcPr>
          <w:p>
            <w:pPr>
              <w:pStyle w:val="ProposalTable"/>
              <w:jc w:val="center"/>
            </w:pPr>
            <w:r>
              <w:t>25</w:t>
            </w:r>
          </w:p>
        </w:tc>
      </w:tr>
    </w:tbl>
    <w:p>
      <w:pPr>
        <w:spacing w:after="0" w:line="240" w:lineRule="auto"/>
      </w:pPr>
      <w:r>
        <w:rPr>
          <w:sz w:val="4"/>
        </w:rPr>
      </w:r>
    </w:p>
    <w:p>
      <w:pPr/>
      <w:r>
        <w:t>四项全部可计算且相关依据通过核验时，总指数为触发项分值之和。等权用于避免伪造未经估计的权重精度；30% 和 20 个百分点为试行阈值，需在开发和验证阶段结合误报案例调整并冻结，禁止根据测试结果倒改。应收、存货和对应比较指标的基期需为正，余额定义及报告期须一致。</w:t>
      </w:r>
    </w:p>
    <w:p>
      <w:pPr/>
      <w:r>
        <w:t>指数 0 表示未触发这四项规则，25 表示单项核查，50 至 100 表示多项优先核查；这是复核顺序，不是风险概率或经校准的风险等级。任一项缺失、不可比或证据不足时，不发布总分，展示可判断项、触发项及覆盖率，也不重新归一化造成虚高分。现金回款季节性、备货、并购和资产处置等替代解释必须保留。</w:t>
      </w:r>
    </w:p>
    <w:p>
      <w:pPr>
        <w:pStyle w:val="Heading2"/>
      </w:pPr>
      <w:r>
        <w:t>后续研究</w:t>
      </w:r>
    </w:p>
    <w:p>
      <w:pPr/>
      <w:r>
        <w:t>在第一版稳定且具备足够标签后，可研究“LLM 提取有出处的特征，再训练传统分类器”，另设训练、验证、测试流程。如果仅训练分类器，不称为 LLM 与分类器联合训练。真正联合训练必须先明确训练对象、标签、损失及数据量。</w:t>
      </w:r>
    </w:p>
    <w:p>
      <w:pPr/>
      <w:r>
        <w:t>企业关系网络、伪标签和多模态融合列为后续研究；不把模型内部推理链当作事实或默认训练特征。第二供应方模型交叉审阅可作为可选实验，但不能替代原文、程序与人工核验。</w:t>
      </w:r>
    </w:p>
    <w:p>
      <w:pPr>
        <w:pStyle w:val="Heading1"/>
      </w:pPr>
      <w:r>
        <w:t>八 分析流程</w:t>
      </w:r>
    </w:p>
    <w:p>
      <w:pPr>
        <w:ind w:left="312" w:hanging="312"/>
      </w:pPr>
      <w:r>
        <w:t>1. 登记任务：导入财报与 MD&amp;A，确定公司、报告期、分析截止日、材料白名单及调用预算。</w:t>
      </w:r>
    </w:p>
    <w:p>
      <w:pPr>
        <w:ind w:left="312" w:hanging="312"/>
      </w:pPr>
      <w:r>
        <w:t>2. 提取与标准化：保留来源位置、单位和报表口径，对缺失或歧义字段标记，形成候选事实表。</w:t>
      </w:r>
    </w:p>
    <w:p>
      <w:pPr>
        <w:ind w:left="312" w:hanging="312"/>
      </w:pPr>
      <w:r>
        <w:t>3. 基础财报分析：本地程序计算同比、可比环比、非经常性损益、利润现金流差异和勾稽关系，识别口径变化。</w:t>
      </w:r>
    </w:p>
    <w:p>
      <w:pPr>
        <w:ind w:left="312" w:hanging="312"/>
      </w:pPr>
      <w:r>
        <w:t>4. 异常调查：根据规则形成候选线索，检索同期 MD&amp;A、附注及允许使用的公告，核对公司解释与数字，并提出替代解释。</w:t>
      </w:r>
    </w:p>
    <w:p>
      <w:pPr>
        <w:ind w:left="312" w:hanging="312"/>
      </w:pPr>
      <w:r>
        <w:t>5. 证据汇总：将候选事实、计算、引用及解释组织为待核验主张，记录模块分歧和候选规则指数。</w:t>
      </w:r>
    </w:p>
    <w:p>
      <w:pPr>
        <w:ind w:left="312" w:hanging="312"/>
      </w:pPr>
      <w:r>
        <w:t>6. 独立核验：检查原文数字、程序计算、引用支撑和模块冲突，逐项返回通过、存在冲突或证据不足。</w:t>
      </w:r>
    </w:p>
    <w:p>
      <w:pPr>
        <w:ind w:left="312" w:hanging="312"/>
      </w:pPr>
      <w:r>
        <w:t>7. 补检与人工复核：在轮数和预算内回到对应节点补充材料或纠正；达到上限则保留问题并转人工，不以循环次数换取强制通过。</w:t>
      </w:r>
    </w:p>
    <w:p>
      <w:pPr>
        <w:ind w:left="312" w:hanging="312"/>
      </w:pPr>
      <w:r>
        <w:t>8. 报告与归档：生成基础分析、已核验异常、可发布的规则指数及待核查事项；检查最终报告与结构化记录是否一致，保存运行档案并在本地 Web 展示。</w:t>
      </w:r>
    </w:p>
    <w:p>
      <w:pPr/>
      <w:r>
        <w:t>核验失败只阻止相关结论被标记为已核实，不必丢弃已完成的其他分析。报告生成后若新增数字、事实或引用，新增内容必须重新经过核验。</w:t>
      </w:r>
    </w:p>
    <w:p>
      <w:pPr>
        <w:pStyle w:val="Heading1"/>
      </w:pPr>
      <w:r>
        <w:t>九 输出与证据链</w:t>
      </w:r>
    </w:p>
    <w:p>
      <w:pPr/>
      <w:r>
        <w:t>输出包含基础财务指标表、业绩变化分析、规则触发情况及适用时的风险指数、MD&amp;A 解释核对、核验明细和人工复核清单，并提供结构化 JSON 与可读报告。第一版以 Markdown 或 HTML 导出为主，参赛计划书另按通知要求整理为 PDF。</w:t>
      </w:r>
    </w:p>
    <w:p>
      <w:pPr/>
      <w:r>
        <w:t>每条异常采用可逐项检查的证据链：</w:t>
      </w:r>
    </w:p>
    <w:p>
      <w:pPr/>
      <w:r>
        <w:t>异常事实 → 原文位置 → 计算过程 → 风险解释 → 替代解释 → 待核查事项。</w:t>
      </w:r>
    </w:p>
    <w:p>
      <w:pPr/>
      <w:r>
        <w:t>证据记录至少关联主张标识、事实标识、文件与页码、计算输入和公式、规则版本、核验状态及限制条件。界面可从指标定位原页，查看提取值、原文值、计算明细与冲突；页序号和印刷页码分别显示。</w:t>
      </w:r>
    </w:p>
    <w:p>
      <w:pPr/>
      <w:r>
        <w:t>风险解释属于推论，LLM 生成的说明文字不成为新增事实证据。比如收入和应收增长不同步只构成核查线索，需进一步核对信用政策、回款、账龄及合并范围；不能直接写成虚增收入的确定结论。</w:t>
      </w:r>
    </w:p>
    <w:p>
      <w:pPr/>
      <w:r>
        <w:t>人工复核允许记录意见和修正依据，保留原结果与修订记录。报告同时显示数据覆盖情况、未完成的检查以及模型/API 失败，避免只展示成功部分。</w:t>
      </w:r>
    </w:p>
    <w:p>
      <w:pPr>
        <w:pStyle w:val="Heading1"/>
      </w:pPr>
      <w:r>
        <w:t>十 评估方案</w:t>
      </w:r>
    </w:p>
    <w:p>
      <w:pPr>
        <w:pStyle w:val="Heading2"/>
      </w:pPr>
      <w:r>
        <w:t>数据划分与人工基准</w:t>
      </w:r>
    </w:p>
    <w:p>
      <w:pPr/>
      <w:r>
        <w:t>建立开发集、验证集及锁定测试集，以公司隔离并增加披露时间边界：开发使用较早窗口的公司组，验证和测试使用互不重叠的公司组及后续窗口。时间切点、公司清单和纳入规则在测试前冻结；同公司历史财报作为该案例上下文时，只留在其所属集合并遵守材料截止日。</w:t>
      </w:r>
    </w:p>
    <w:p>
      <w:pPr/>
      <w:r>
        <w:t>第一版虽不训练模型，也不得用测试集反复修改规则或提示词。以后训练分类器时，采样平衡、缺失处理和统计变换只能在训练集拟合。测试集尽量保留目标场景类别比例；若另建舞弊正例富集的压力案例集，与代表性测试集分开报告。</w:t>
      </w:r>
    </w:p>
    <w:p>
      <w:pPr/>
      <w:r>
        <w:t>人工基准标注字段、原文位置、独立计算结果和引用是否支撑主张。典型舞弊案例、正常经营变化造成的误报案例、零或负基数、累计与单季混淆、单位和合并口径冲突都应覆盖。人工构造错误单列为诊断集，不混作真实舞弊样本。首批规模按实际可获取与双人复核能力确定，记录公司数、报告期数、类别比例和缺失率，不虚构大样本。</w:t>
      </w:r>
    </w:p>
    <w:p>
      <w:pPr>
        <w:pStyle w:val="Heading2"/>
      </w:pPr>
      <w:r>
        <w:t>识别效果与系统可靠性</w:t>
      </w:r>
    </w:p>
    <w:p>
      <w:pPr/>
      <w:r>
        <w:t>保留 ROC-AUC、Precision、Recall、F1 和误报率，增加 PR-AUC。类别稀少时同时查看查准与召回表现，具体依据可参考 Saito 与 Rehmsmeier 的研究。</w:t>
      </w:r>
      <w:hyperlink r:id="rId13">
        <w:r>
          <w:rPr>
            <w:color w:val="1F4E79"/>
            <w:u w:val="single"/>
          </w:rPr>
          <w:t>PR 与 ROC 在不平衡数据上的比较</w:t>
        </w:r>
      </w:hyperlink>
      <w:r/>
    </w:p>
    <w:p>
      <w:pPr/>
      <w:r>
        <w:t>PR-AUC 明确采用梯形积分还是 Average Precision；若使用后者，单独标为 AP，不能混用数值。分类阈值只由开发和验证集确定。对“未发现认定”的操作性对照计算的指标，必须披露标签不完备性；正负类别不足时标为无法估计，不报告虚假 AUC。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32"/>
        <w:gridCol w:w="4365"/>
        <w:gridCol w:w="3317"/>
      </w:tblGrid>
      <w:tr>
        <w:trPr>
          <w:cantSplit/>
          <w:tblHeader/>
        </w:trPr>
        <w:tc>
          <w:tcPr>
            <w:tcW w:type="dxa" w:w="1332"/>
            <w:vAlign w:val="center"/>
            <w:shd w:fill="E8EEF4"/>
          </w:tcPr>
          <w:p>
            <w:pPr>
              <w:pStyle w:val="ProposalTable"/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4365"/>
            <w:vAlign w:val="center"/>
            <w:shd w:fill="E8EEF4"/>
          </w:tcPr>
          <w:p>
            <w:pPr>
              <w:pStyle w:val="ProposalTable"/>
              <w:jc w:val="left"/>
            </w:pPr>
            <w:r>
              <w:rPr>
                <w:b/>
              </w:rPr>
              <w:t>评价口径</w:t>
            </w:r>
          </w:p>
        </w:tc>
        <w:tc>
          <w:tcPr>
            <w:tcW w:type="dxa" w:w="3317"/>
            <w:vAlign w:val="center"/>
            <w:shd w:fill="E8EEF4"/>
          </w:tcPr>
          <w:p>
            <w:pPr>
              <w:pStyle w:val="ProposalTable"/>
              <w:jc w:val="left"/>
            </w:pPr>
            <w:r>
              <w:rPr>
                <w:b/>
              </w:rPr>
              <w:t>同时报告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ProposalTable"/>
              <w:jc w:val="center"/>
            </w:pPr>
            <w:r>
              <w:t>字段提取</w:t>
            </w:r>
          </w:p>
        </w:tc>
        <w:tc>
          <w:tcPr>
            <w:tcW w:type="dxa" w:w="4365"/>
            <w:vAlign w:val="center"/>
          </w:tcPr>
          <w:p>
            <w:pPr>
              <w:pStyle w:val="ProposalTable"/>
              <w:jc w:val="left"/>
            </w:pPr>
            <w:r>
              <w:t>数值、单位、币种、期间和报表口径均匹配才算正确</w:t>
            </w:r>
          </w:p>
        </w:tc>
        <w:tc>
          <w:tcPr>
            <w:tcW w:type="dxa" w:w="3317"/>
            <w:vAlign w:val="center"/>
          </w:tcPr>
          <w:p>
            <w:pPr>
              <w:pStyle w:val="ProposalTable"/>
              <w:jc w:val="left"/>
            </w:pPr>
            <w:r>
              <w:t>正确率、完整率、原文定位正确率；人工修正前后分开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ProposalTable"/>
              <w:jc w:val="center"/>
            </w:pPr>
            <w:r>
              <w:t>计算</w:t>
            </w:r>
          </w:p>
        </w:tc>
        <w:tc>
          <w:tcPr>
            <w:tcW w:type="dxa" w:w="4365"/>
            <w:vAlign w:val="center"/>
          </w:tcPr>
          <w:p>
            <w:pPr>
              <w:pStyle w:val="ProposalTable"/>
              <w:jc w:val="left"/>
            </w:pPr>
            <w:r>
              <w:t>对人工独立算例检查公式、输入口径、单季转换及输出容差</w:t>
            </w:r>
          </w:p>
        </w:tc>
        <w:tc>
          <w:tcPr>
            <w:tcW w:type="dxa" w:w="3317"/>
            <w:vAlign w:val="center"/>
          </w:tcPr>
          <w:p>
            <w:pPr>
              <w:pStyle w:val="ProposalTable"/>
              <w:jc w:val="left"/>
            </w:pPr>
            <w:r>
              <w:t>计算正确率、不可计算率；不能仅用同一函数互比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ProposalTable"/>
              <w:jc w:val="center"/>
            </w:pPr>
            <w:r>
              <w:t>引用</w:t>
            </w:r>
          </w:p>
        </w:tc>
        <w:tc>
          <w:tcPr>
            <w:tcW w:type="dxa" w:w="4365"/>
            <w:vAlign w:val="center"/>
          </w:tcPr>
          <w:p>
            <w:pPr>
              <w:pStyle w:val="ProposalTable"/>
              <w:jc w:val="left"/>
            </w:pPr>
            <w:r>
              <w:t>检查文件页码是否正确、原文是否实际支持所述主张</w:t>
            </w:r>
          </w:p>
        </w:tc>
        <w:tc>
          <w:tcPr>
            <w:tcW w:type="dxa" w:w="3317"/>
            <w:vAlign w:val="center"/>
          </w:tcPr>
          <w:p>
            <w:pPr>
              <w:pStyle w:val="ProposalTable"/>
              <w:jc w:val="left"/>
            </w:pPr>
            <w:r>
              <w:t>定位正确率、支持正确率及缺少引用的主张比例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ProposalTable"/>
              <w:jc w:val="center"/>
            </w:pPr>
            <w:r>
              <w:t>核验</w:t>
            </w:r>
          </w:p>
        </w:tc>
        <w:tc>
          <w:tcPr>
            <w:tcW w:type="dxa" w:w="4365"/>
            <w:vAlign w:val="center"/>
          </w:tcPr>
          <w:p>
            <w:pPr>
              <w:pStyle w:val="ProposalTable"/>
              <w:jc w:val="left"/>
            </w:pPr>
            <w:r>
              <w:t>使用盲审标注及人工构造错误，检查错误发现与误拦截</w:t>
            </w:r>
          </w:p>
        </w:tc>
        <w:tc>
          <w:tcPr>
            <w:tcW w:type="dxa" w:w="3317"/>
            <w:vAlign w:val="center"/>
          </w:tcPr>
          <w:p>
            <w:pPr>
              <w:pStyle w:val="ProposalTable"/>
              <w:jc w:val="left"/>
            </w:pPr>
            <w:r>
              <w:t>检出率、误报率、漏检、冲突与证据不足分布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ProposalTable"/>
              <w:jc w:val="center"/>
            </w:pPr>
            <w:r>
              <w:t>最终报告</w:t>
            </w:r>
          </w:p>
        </w:tc>
        <w:tc>
          <w:tcPr>
            <w:tcW w:type="dxa" w:w="4365"/>
            <w:vAlign w:val="center"/>
          </w:tcPr>
          <w:p>
            <w:pPr>
              <w:pStyle w:val="ProposalTable"/>
              <w:jc w:val="left"/>
            </w:pPr>
            <w:r>
              <w:t>人工逐条判断事实错误与无依据主张</w:t>
            </w:r>
          </w:p>
        </w:tc>
        <w:tc>
          <w:tcPr>
            <w:tcW w:type="dxa" w:w="3317"/>
            <w:vAlign w:val="center"/>
          </w:tcPr>
          <w:p>
            <w:pPr>
              <w:pStyle w:val="ProposalTable"/>
              <w:jc w:val="left"/>
            </w:pPr>
            <w:r>
              <w:t>错误率、主张覆盖率及人工复核一致性</w:t>
            </w:r>
          </w:p>
        </w:tc>
      </w:tr>
      <w:tr>
        <w:trPr>
          <w:cantSplit/>
        </w:trPr>
        <w:tc>
          <w:tcPr>
            <w:tcW w:type="dxa" w:w="1332"/>
            <w:vAlign w:val="center"/>
          </w:tcPr>
          <w:p>
            <w:pPr>
              <w:pStyle w:val="ProposalTable"/>
              <w:jc w:val="center"/>
            </w:pPr>
            <w:r>
              <w:t>运行</w:t>
            </w:r>
          </w:p>
        </w:tc>
        <w:tc>
          <w:tcPr>
            <w:tcW w:type="dxa" w:w="4365"/>
            <w:vAlign w:val="center"/>
          </w:tcPr>
          <w:p>
            <w:pPr>
              <w:pStyle w:val="ProposalTable"/>
              <w:jc w:val="left"/>
            </w:pPr>
            <w:r>
              <w:t>记录任务完成、失败、补检、时延和模型用量</w:t>
            </w:r>
          </w:p>
        </w:tc>
        <w:tc>
          <w:tcPr>
            <w:tcW w:type="dxa" w:w="3317"/>
            <w:vAlign w:val="center"/>
          </w:tcPr>
          <w:p>
            <w:pPr>
              <w:pStyle w:val="ProposalTable"/>
              <w:jc w:val="left"/>
            </w:pPr>
            <w:r>
              <w:t>完成率、弃权率、人工介入率、耗时与调用成本</w:t>
            </w:r>
          </w:p>
        </w:tc>
      </w:tr>
    </w:tbl>
    <w:p>
      <w:pPr>
        <w:spacing w:after="0" w:line="240" w:lineRule="auto"/>
      </w:pPr>
      <w:r>
        <w:rPr>
          <w:sz w:val="4"/>
        </w:rPr>
      </w:r>
    </w:p>
    <w:p>
      <w:pPr/>
      <w:r>
        <w:t>所有指标写明分母、样本量和未完成项的处理方式。无总分或证据不足的样本不能记为低风险；排序指标可在可评分子集计算，但须同时披露覆盖率、未评分正例数，以及将未评分正例视为未检出时的端到端召回，防止通过大量弃权获得漂亮指标。</w:t>
      </w:r>
    </w:p>
    <w:p>
      <w:pPr>
        <w:pStyle w:val="Heading2"/>
      </w:pPr>
      <w:r>
        <w:t>对照及消融</w:t>
      </w:r>
    </w:p>
    <w:p>
      <w:pPr>
        <w:pStyle w:val="ProposalBullet"/>
      </w:pPr>
      <w:r>
        <w:t>•  基线包括仅大模型、仅规则/统计、单智能体配相同工具，以及完整流程。</w:t>
      </w:r>
    </w:p>
    <w:p>
      <w:pPr>
        <w:pStyle w:val="ProposalBullet"/>
      </w:pPr>
      <w:r>
        <w:t>•  核心消融为“移除独立核验模块”，尽量使用同一批候选结果，比较加入核验前后的数字错误、无依据主张、误报及召回变化。</w:t>
      </w:r>
    </w:p>
    <w:p>
      <w:pPr>
        <w:pStyle w:val="ProposalBullet"/>
      </w:pPr>
      <w:r>
        <w:t>•  保留去文本分析、去证据融合和仅结构化特征对照，明确各实验移除什么、其余输入如何保持一致。</w:t>
      </w:r>
    </w:p>
    <w:p>
      <w:pPr>
        <w:pStyle w:val="ProposalBullet"/>
      </w:pPr>
      <w:r>
        <w:t>•  单智能体与多智能体使用同一模型、材料、工具权限、停止条件及相近 token/费用预算，并报告实际消耗。若核验带来额外调用，同时提供匹配预算对照，区分机制收益与单纯增加资源的收益。</w:t>
      </w:r>
    </w:p>
    <w:p>
      <w:pPr>
        <w:pStyle w:val="ProposalBullet"/>
      </w:pPr>
      <w:r>
        <w:t>•  汇报配对差异、误报案例及失败原因。样本量允许时按公司分组估计置信区间，避免把同公司不同报告期当成独立重复证据。</w:t>
      </w:r>
    </w:p>
    <w:p>
      <w:pPr>
        <w:pStyle w:val="Heading2"/>
      </w:pPr>
      <w:r>
        <w:t>第一版验收重点</w:t>
      </w:r>
    </w:p>
    <w:p>
      <w:pPr/>
      <w:r>
        <w:t>上传到报告的流程应可运行；每项基础任务给出结果或明确的不可计算原因；所有发布的关键数字与引用可定位、可重算；已知错误案例触发预期核验状态；API 超时和缺失数据不会被伪装为成功。公式与期间转换的预设算例须全部通过。识别指标以实际测量为准，未评测前不承诺 AUC、召回率或成本优势。</w:t>
      </w:r>
    </w:p>
    <w:p>
      <w:pPr>
        <w:pStyle w:val="Heading1"/>
      </w:pPr>
      <w:r>
        <w:t>十一 可追溯与可复现</w:t>
      </w:r>
    </w:p>
    <w:p>
      <w:pPr>
        <w:pStyle w:val="ProposalBullet"/>
      </w:pPr>
      <w:r>
        <w:t>•  固定依赖、代码、提示词、规则及可用的模型版本；记录模型供应方、模型标识、调用时间、参数、请求标识、用量和重试情况。模型版本不可锁定时如实说明。</w:t>
      </w:r>
    </w:p>
    <w:p>
      <w:pPr>
        <w:pStyle w:val="ProposalBullet"/>
      </w:pPr>
      <w:r>
        <w:t>•  保留去除密钥和鉴权头后的实际请求与返回、必要证据片段、关键结构化结果及错误信息。仅固定随机种子不能保证在线模型输出完全一致。</w:t>
      </w:r>
    </w:p>
    <w:p>
      <w:pPr>
        <w:pStyle w:val="ProposalBullet"/>
      </w:pPr>
      <w:r>
        <w:t>•  按 run_id 保存文件访问、输入哈希、工具参数与返回、计算步骤、核验依据、人工修正及最终 JSON，支持逐条追踪。</w:t>
      </w:r>
    </w:p>
    <w:p>
      <w:pPr>
        <w:pStyle w:val="ProposalBullet"/>
      </w:pPr>
      <w:r>
        <w:t>•  运行档案写入 artifacts/runs/，报告写入 artifacts/reports/，评测输出写入 artifacts/evaluations/ 的独立任务目录；正式流程不依赖 tmp/。</w:t>
      </w:r>
    </w:p>
    <w:p>
      <w:pPr>
        <w:pStyle w:val="ProposalBullet"/>
      </w:pPr>
      <w:r>
        <w:t>•  区分三类复现：原始输入上的本地计算重算；使用保存响应的历史回放；重新请求云端模型的在线运行。界面和记录注明模式，缓存命中也须标记。</w:t>
      </w:r>
    </w:p>
    <w:p>
      <w:pPr>
        <w:pStyle w:val="ProposalBullet"/>
      </w:pPr>
      <w:r>
        <w:t>•  前后端分别提供依赖清单和启动说明；尚无 Git 版本时记录可核对的源码哈希。后续采用 Docker 时仍需注明云端接口依赖，不能声称容器包含模型服务。</w:t>
      </w:r>
    </w:p>
    <w:p>
      <w:pPr/>
      <w:r>
        <w:t>第一版开发顺序为：公开样例与原文定位 → 本地计算与核验 → 云端模型和 LangGraph → 本地 Web 与导出 → 对照评测及参赛材料。现阶段只完成方案与骨架，不将规划描述为已实现。</w:t>
      </w:r>
    </w:p>
    <w:p>
      <w:pPr>
        <w:pStyle w:val="Heading1"/>
      </w:pPr>
      <w:r>
        <w:t>十二 创新点</w:t>
      </w:r>
    </w:p>
    <w:p>
      <w:pPr/>
      <w:r>
        <w:t>拟验证的贡献是“以独立原文核对、程序计算及引用检查约束财报风险分析”，并允许冲突和证据不足成为正式结果。通过去核验消融，检验其对数字错误、无依据主张和误报的影响，同时观察召回与覆盖率是否下降。</w:t>
      </w:r>
    </w:p>
    <w:p>
      <w:pPr/>
      <w:r>
        <w:t>可检查的证据链将异常事实、计算、风险解释和替代解释绑定到来源；受控资料及时间边界支持历史识别评测；完整运行记录支持区分错误来源与回放模式。这些设计的有效性必须由实验与案例支撑。</w:t>
      </w:r>
    </w:p>
    <w:p>
      <w:pPr/>
      <w:r>
        <w:t>多智能体分工、结构化指标与文本结合、国产模型适配均保留为设计特点。只有在同模型、同工具、相近预算的对照下取得证据，才能进一步主张多智能体带来价值；不预先宣称性能领先或已提升泛化能力。</w:t>
      </w:r>
    </w:p>
    <w:p>
      <w:pPr>
        <w:pStyle w:val="Heading1"/>
      </w:pPr>
      <w:r>
        <w:t>十三 风险与应对</w:t>
      </w:r>
    </w:p>
    <w:p>
      <w:pPr>
        <w:pStyle w:val="ProposalBullet"/>
      </w:pPr>
      <w:r>
        <w:t>•  数据获取与覆盖：先选来源清楚的公开财报和可定位字段；复杂扫描件、缺失附注及不适用行业显式列出，必要时人工复核，不以人工录入冒充自动提取。</w:t>
      </w:r>
    </w:p>
    <w:p>
      <w:pPr>
        <w:pStyle w:val="ProposalBullet"/>
      </w:pPr>
      <w:r>
        <w:t>•  标签噪声与滞后：限定财务认定类型和受影响期间，记录观察截止日；未知样本单列，对照不视为确认正常，保留双人复核与争议记录。</w:t>
      </w:r>
    </w:p>
    <w:p>
      <w:pPr>
        <w:pStyle w:val="ProposalBullet"/>
      </w:pPr>
      <w:r>
        <w:t>•  模型幻觉与核验失效：先提供可核对的证据，再进行原文、计算、引用和冲突检查；不能依靠第二个模型或同一错误数值重复出现来证明正确。</w:t>
      </w:r>
    </w:p>
    <w:p>
      <w:pPr>
        <w:pStyle w:val="ProposalBullet"/>
      </w:pPr>
      <w:r>
        <w:t>•  误报与评分误解：展示经营层面的替代解释、规则阈值及覆盖率，限制行业和口径；风险指数用于复核排序，未经校准不称为舞弊概率。</w:t>
      </w:r>
    </w:p>
    <w:p>
      <w:pPr>
        <w:pStyle w:val="ProposalBullet"/>
      </w:pPr>
      <w:r>
        <w:t>•  成本与稳定性：本地承担确定性任务，云端调用设预算、超时、重试和补检上限；费用以实测为准。失败保留已有结果与错误状态，缓存和历史回放明确标记。</w:t>
      </w:r>
    </w:p>
    <w:p>
      <w:pPr>
        <w:pStyle w:val="ProposalBullet"/>
      </w:pPr>
      <w:r>
        <w:t>•  现场联网：提前核实比赛环境是否允许云端模型 API。若禁止外连，当前路线需要另行调整；历史回放不能替代评审要求的实时处理。</w:t>
      </w:r>
    </w:p>
    <w:p>
      <w:pPr>
        <w:pStyle w:val="ProposalBullet"/>
      </w:pPr>
      <w:r>
        <w:t>•  资料外发与来源使用：仅使用公开或获授权材料，记录使用条件及第三方许可；云端只接收必要且允许外发的片段，不上传评测标签，密钥不入源码和日志。</w:t>
      </w:r>
    </w:p>
    <w:p>
      <w:pPr>
        <w:pStyle w:val="ProposalBullet"/>
      </w:pPr>
      <w:r>
        <w:t>•  范围与交付：优先完成基础分析、独立核验及可复现演示；企业网络、伪标签、联合训练和复杂多模态留待后续，避免框架堆叠挤占核心验证时间。</w:t>
      </w:r>
    </w:p>
    <w:sectPr>
      <w:headerReference r:id="rId3" w:type="default"/>
      <w:footerReference r:id="rId4" w:type="default"/>
      <w:pgSz w:w="11905" w:h="16840"/>
      <w:pgMar w:top="1440" w:bottom="1440" w:left="1440" w:right="1440" w:footer="709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42A89">
    <w:pPr>
      <w:jc w:val="center"/>
    </w:pPr>
    <w:r>
      <w:rPr>
        <w:rFonts w:ascii="Arial" w:hAnsi="Arial"/>
        <w:b w:val="0"/>
        <w:color w:val="000000"/>
        <w:sz w:val="18"/>
      </w:rPr>
    </w:r>
    <w:fldSimple w:instr="PAGE">
      <w:r>
        <w:t>1</w:t>
      </w:r>
    </w:fldSimple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4137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D6D2"/>
    <w:multiLevelType w:val="singleLevel"/>
    <w:tmpl w:val="9FFFD6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A69E6962"/>
    <w:multiLevelType w:val="singleLevel"/>
    <w:tmpl w:val="A69E69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D7321A8"/>
    <w:multiLevelType w:val="singleLevel"/>
    <w:tmpl w:val="AD73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ECEB0D9"/>
    <w:multiLevelType w:val="singleLevel"/>
    <w:tmpl w:val="AECEB0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3FE0970"/>
    <w:multiLevelType w:val="singleLevel"/>
    <w:tmpl w:val="B3FE09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FFAB0D"/>
    <w:multiLevelType w:val="singleLevel"/>
    <w:tmpl w:val="B5FFAB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73E9DB0"/>
    <w:multiLevelType w:val="singleLevel"/>
    <w:tmpl w:val="B73E9D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B7A13A9"/>
    <w:multiLevelType w:val="singleLevel"/>
    <w:tmpl w:val="BB7A13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DEFC80B"/>
    <w:multiLevelType w:val="singleLevel"/>
    <w:tmpl w:val="BDEFC8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F344F80"/>
    <w:multiLevelType w:val="singleLevel"/>
    <w:tmpl w:val="BF344F8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F7BFAEC"/>
    <w:multiLevelType w:val="singleLevel"/>
    <w:tmpl w:val="BF7BFA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FF4898F"/>
    <w:multiLevelType w:val="singleLevel"/>
    <w:tmpl w:val="BFF489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FFED9AD"/>
    <w:multiLevelType w:val="singleLevel"/>
    <w:tmpl w:val="BFFED9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FF6141"/>
    <w:multiLevelType w:val="singleLevel"/>
    <w:tmpl w:val="BFFF61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6EEEE36"/>
    <w:multiLevelType w:val="singleLevel"/>
    <w:tmpl w:val="C6EEEE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B77656"/>
    <w:multiLevelType w:val="singleLevel"/>
    <w:tmpl w:val="CFB776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6F9FDAC"/>
    <w:multiLevelType w:val="singleLevel"/>
    <w:tmpl w:val="D6F9FD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6FE14E1"/>
    <w:multiLevelType w:val="singleLevel"/>
    <w:tmpl w:val="D6FE14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D73A16DD"/>
    <w:multiLevelType w:val="singleLevel"/>
    <w:tmpl w:val="D73A16D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DE74FDC3"/>
    <w:multiLevelType w:val="singleLevel"/>
    <w:tmpl w:val="DE74FD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DF7E4591"/>
    <w:multiLevelType w:val="singleLevel"/>
    <w:tmpl w:val="DF7E45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DFF9EBFF"/>
    <w:multiLevelType w:val="singleLevel"/>
    <w:tmpl w:val="DFF9EB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E3FCECB9"/>
    <w:multiLevelType w:val="singleLevel"/>
    <w:tmpl w:val="E3FCECB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4BFFB0C"/>
    <w:multiLevelType w:val="singleLevel"/>
    <w:tmpl w:val="E4BFFB0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ECFA663C"/>
    <w:multiLevelType w:val="singleLevel"/>
    <w:tmpl w:val="ECFA66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D97BF96"/>
    <w:multiLevelType w:val="singleLevel"/>
    <w:tmpl w:val="ED97BF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DF21A83"/>
    <w:multiLevelType w:val="singleLevel"/>
    <w:tmpl w:val="EDF21A8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7">
    <w:nsid w:val="EEFEC883"/>
    <w:multiLevelType w:val="singleLevel"/>
    <w:tmpl w:val="EEFEC88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8">
    <w:nsid w:val="EFC65B79"/>
    <w:multiLevelType w:val="singleLevel"/>
    <w:tmpl w:val="EFC65B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2BEACE1"/>
    <w:multiLevelType w:val="singleLevel"/>
    <w:tmpl w:val="F2BEAC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3FF7541"/>
    <w:multiLevelType w:val="singleLevel"/>
    <w:tmpl w:val="F3FF75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53FCE67"/>
    <w:multiLevelType w:val="singleLevel"/>
    <w:tmpl w:val="F53FCE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57F9181"/>
    <w:multiLevelType w:val="singleLevel"/>
    <w:tmpl w:val="F57F91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64A1355"/>
    <w:multiLevelType w:val="singleLevel"/>
    <w:tmpl w:val="F64A135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7FFB736"/>
    <w:multiLevelType w:val="singleLevel"/>
    <w:tmpl w:val="F7FFB73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5">
    <w:nsid w:val="F9D21833"/>
    <w:multiLevelType w:val="singleLevel"/>
    <w:tmpl w:val="F9D218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B64258F"/>
    <w:multiLevelType w:val="singleLevel"/>
    <w:tmpl w:val="FB6425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FCDD1CD6"/>
    <w:multiLevelType w:val="singleLevel"/>
    <w:tmpl w:val="FCDD1CD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FCEBC2AD"/>
    <w:multiLevelType w:val="singleLevel"/>
    <w:tmpl w:val="FCEBC2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D79FFE3"/>
    <w:multiLevelType w:val="singleLevel"/>
    <w:tmpl w:val="FD79FF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D9AF9B0"/>
    <w:multiLevelType w:val="singleLevel"/>
    <w:tmpl w:val="FD9AF9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FDC3AC33"/>
    <w:multiLevelType w:val="singleLevel"/>
    <w:tmpl w:val="FDC3A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FDDDE860"/>
    <w:multiLevelType w:val="singleLevel"/>
    <w:tmpl w:val="FDDDE86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FDFB1F59"/>
    <w:multiLevelType w:val="singleLevel"/>
    <w:tmpl w:val="FDFB1F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ECE4C09"/>
    <w:multiLevelType w:val="singleLevel"/>
    <w:tmpl w:val="FECE4C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F774731"/>
    <w:multiLevelType w:val="singleLevel"/>
    <w:tmpl w:val="FF77473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6">
    <w:nsid w:val="FFCDFFD7"/>
    <w:multiLevelType w:val="singleLevel"/>
    <w:tmpl w:val="FFCDFF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FDED479"/>
    <w:multiLevelType w:val="singleLevel"/>
    <w:tmpl w:val="FFDED4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FEE7FA9"/>
    <w:multiLevelType w:val="singleLevel"/>
    <w:tmpl w:val="FFEE7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FEF8CAE"/>
    <w:multiLevelType w:val="singleLevel"/>
    <w:tmpl w:val="FFEF8C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FFE1110"/>
    <w:multiLevelType w:val="singleLevel"/>
    <w:tmpl w:val="FFFE11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FFE144D"/>
    <w:multiLevelType w:val="singleLevel"/>
    <w:tmpl w:val="FFFE14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373BA51F"/>
    <w:multiLevelType w:val="singleLevel"/>
    <w:tmpl w:val="373BA51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37B970F5"/>
    <w:multiLevelType w:val="singleLevel"/>
    <w:tmpl w:val="37B970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3CF4A318"/>
    <w:multiLevelType w:val="singleLevel"/>
    <w:tmpl w:val="3CF4A3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3D737CB7"/>
    <w:multiLevelType w:val="singleLevel"/>
    <w:tmpl w:val="3D737C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3FCE5BD1"/>
    <w:multiLevelType w:val="singleLevel"/>
    <w:tmpl w:val="3FCE5B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5F3EA7A8"/>
    <w:multiLevelType w:val="singleLevel"/>
    <w:tmpl w:val="5F3EA7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5F571070"/>
    <w:multiLevelType w:val="singleLevel"/>
    <w:tmpl w:val="5F5710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5FF6774D"/>
    <w:multiLevelType w:val="singleLevel"/>
    <w:tmpl w:val="5FF677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665683AA"/>
    <w:multiLevelType w:val="singleLevel"/>
    <w:tmpl w:val="665683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75FE12AE"/>
    <w:multiLevelType w:val="singleLevel"/>
    <w:tmpl w:val="75FE12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75FF4709"/>
    <w:multiLevelType w:val="singleLevel"/>
    <w:tmpl w:val="75FF47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7632E60B"/>
    <w:multiLevelType w:val="singleLevel"/>
    <w:tmpl w:val="7632E6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777EFBA3"/>
    <w:multiLevelType w:val="singleLevel"/>
    <w:tmpl w:val="777EFB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77ED540B"/>
    <w:multiLevelType w:val="singleLevel"/>
    <w:tmpl w:val="77ED54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7947EF05"/>
    <w:multiLevelType w:val="singleLevel"/>
    <w:tmpl w:val="7947EF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DEC8671"/>
    <w:multiLevelType w:val="singleLevel"/>
    <w:tmpl w:val="7DEC86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8">
    <w:nsid w:val="7FACBAFF"/>
    <w:multiLevelType w:val="singleLevel"/>
    <w:tmpl w:val="7FACBAF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FFFEAEB"/>
    <w:multiLevelType w:val="singleLevel"/>
    <w:tmpl w:val="7FFFEAEB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9"/>
  </w:num>
  <w:num w:numId="2">
    <w:abstractNumId w:val="4"/>
  </w:num>
  <w:num w:numId="3">
    <w:abstractNumId w:val="53"/>
  </w:num>
  <w:num w:numId="4">
    <w:abstractNumId w:val="64"/>
  </w:num>
  <w:num w:numId="5">
    <w:abstractNumId w:val="8"/>
  </w:num>
  <w:num w:numId="6">
    <w:abstractNumId w:val="17"/>
  </w:num>
  <w:num w:numId="7">
    <w:abstractNumId w:val="62"/>
  </w:num>
  <w:num w:numId="8">
    <w:abstractNumId w:val="54"/>
  </w:num>
  <w:num w:numId="9">
    <w:abstractNumId w:val="12"/>
  </w:num>
  <w:num w:numId="10">
    <w:abstractNumId w:val="65"/>
  </w:num>
  <w:num w:numId="11">
    <w:abstractNumId w:val="9"/>
  </w:num>
  <w:num w:numId="12">
    <w:abstractNumId w:val="50"/>
  </w:num>
  <w:num w:numId="13">
    <w:abstractNumId w:val="66"/>
  </w:num>
  <w:num w:numId="14">
    <w:abstractNumId w:val="20"/>
  </w:num>
  <w:num w:numId="15">
    <w:abstractNumId w:val="6"/>
  </w:num>
  <w:num w:numId="16">
    <w:abstractNumId w:val="37"/>
  </w:num>
  <w:num w:numId="17">
    <w:abstractNumId w:val="60"/>
  </w:num>
  <w:num w:numId="18">
    <w:abstractNumId w:val="5"/>
  </w:num>
  <w:num w:numId="19">
    <w:abstractNumId w:val="19"/>
  </w:num>
  <w:num w:numId="20">
    <w:abstractNumId w:val="21"/>
  </w:num>
  <w:num w:numId="21">
    <w:abstractNumId w:val="29"/>
  </w:num>
  <w:num w:numId="22">
    <w:abstractNumId w:val="41"/>
  </w:num>
  <w:num w:numId="23">
    <w:abstractNumId w:val="33"/>
  </w:num>
  <w:num w:numId="24">
    <w:abstractNumId w:val="57"/>
  </w:num>
  <w:num w:numId="25">
    <w:abstractNumId w:val="69"/>
  </w:num>
  <w:num w:numId="26">
    <w:abstractNumId w:val="32"/>
  </w:num>
  <w:num w:numId="27">
    <w:abstractNumId w:val="63"/>
  </w:num>
  <w:num w:numId="28">
    <w:abstractNumId w:val="68"/>
  </w:num>
  <w:num w:numId="29">
    <w:abstractNumId w:val="3"/>
  </w:num>
  <w:num w:numId="30">
    <w:abstractNumId w:val="46"/>
  </w:num>
  <w:num w:numId="31">
    <w:abstractNumId w:val="16"/>
  </w:num>
  <w:num w:numId="32">
    <w:abstractNumId w:val="2"/>
  </w:num>
  <w:num w:numId="33">
    <w:abstractNumId w:val="30"/>
  </w:num>
  <w:num w:numId="34">
    <w:abstractNumId w:val="1"/>
  </w:num>
  <w:num w:numId="35">
    <w:abstractNumId w:val="40"/>
  </w:num>
  <w:num w:numId="36">
    <w:abstractNumId w:val="14"/>
  </w:num>
  <w:num w:numId="37">
    <w:abstractNumId w:val="56"/>
  </w:num>
  <w:num w:numId="38">
    <w:abstractNumId w:val="11"/>
  </w:num>
  <w:num w:numId="39">
    <w:abstractNumId w:val="26"/>
  </w:num>
  <w:num w:numId="40">
    <w:abstractNumId w:val="42"/>
  </w:num>
  <w:num w:numId="41">
    <w:abstractNumId w:val="45"/>
  </w:num>
  <w:num w:numId="42">
    <w:abstractNumId w:val="67"/>
  </w:num>
  <w:num w:numId="43">
    <w:abstractNumId w:val="34"/>
  </w:num>
  <w:num w:numId="44">
    <w:abstractNumId w:val="27"/>
  </w:num>
  <w:num w:numId="45">
    <w:abstractNumId w:val="39"/>
  </w:num>
  <w:num w:numId="46">
    <w:abstractNumId w:val="23"/>
  </w:num>
  <w:num w:numId="47">
    <w:abstractNumId w:val="0"/>
  </w:num>
  <w:num w:numId="48">
    <w:abstractNumId w:val="18"/>
  </w:num>
  <w:num w:numId="49">
    <w:abstractNumId w:val="24"/>
  </w:num>
  <w:num w:numId="50">
    <w:abstractNumId w:val="38"/>
  </w:num>
  <w:num w:numId="51">
    <w:abstractNumId w:val="35"/>
  </w:num>
  <w:num w:numId="52">
    <w:abstractNumId w:val="7"/>
  </w:num>
  <w:num w:numId="53">
    <w:abstractNumId w:val="13"/>
  </w:num>
  <w:num w:numId="54">
    <w:abstractNumId w:val="51"/>
  </w:num>
  <w:num w:numId="55">
    <w:abstractNumId w:val="47"/>
  </w:num>
  <w:num w:numId="56">
    <w:abstractNumId w:val="49"/>
  </w:num>
  <w:num w:numId="57">
    <w:abstractNumId w:val="31"/>
  </w:num>
  <w:num w:numId="58">
    <w:abstractNumId w:val="48"/>
  </w:num>
  <w:num w:numId="59">
    <w:abstractNumId w:val="28"/>
  </w:num>
  <w:num w:numId="60">
    <w:abstractNumId w:val="61"/>
  </w:num>
  <w:num w:numId="61">
    <w:abstractNumId w:val="52"/>
  </w:num>
  <w:num w:numId="62">
    <w:abstractNumId w:val="58"/>
  </w:num>
  <w:num w:numId="63">
    <w:abstractNumId w:val="15"/>
  </w:num>
  <w:num w:numId="64">
    <w:abstractNumId w:val="44"/>
  </w:num>
  <w:num w:numId="65">
    <w:abstractNumId w:val="10"/>
  </w:num>
  <w:num w:numId="66">
    <w:abstractNumId w:val="55"/>
  </w:num>
  <w:num w:numId="67">
    <w:abstractNumId w:val="25"/>
  </w:num>
  <w:num w:numId="68">
    <w:abstractNumId w:val="43"/>
  </w:num>
  <w:num w:numId="69">
    <w:abstractNumId w:val="36"/>
  </w:num>
  <w:num w:numId="7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F97E6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Lines w:val="0"/>
      <w:widowControl/>
      <w:spacing w:before="0" w:after="120" w:line="324" w:lineRule="auto"/>
      <w:jc w:val="both"/>
    </w:pPr>
    <w:rPr>
      <w:rFonts w:ascii="Arial" w:hAnsi="Arial" w:eastAsia="宋体"/>
      <w:b w:val="0"/>
      <w:color w:val="000000"/>
      <w:sz w:val="22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keepNext/>
      <w:keepLines w:val="0"/>
      <w:widowControl/>
      <w:spacing w:before="0" w:after="140" w:line="324" w:lineRule="auto"/>
      <w:jc w:val="left"/>
    </w:pPr>
    <w:rPr>
      <w:rFonts w:ascii="Arial" w:hAnsi="Arial" w:eastAsia="黑体"/>
      <w:b/>
      <w:color w:val="000000"/>
      <w:sz w:val="48"/>
    </w:rPr>
  </w:style>
  <w:style w:type="paragraph" w:customStyle="1" w:styleId="Heading1">
    <w:name w:val="heading 1"/>
    <w:pPr>
      <w:keepNext/>
      <w:keepLines w:val="0"/>
      <w:widowControl/>
      <w:spacing w:before="300" w:after="160" w:line="324" w:lineRule="auto"/>
      <w:outlineLvl w:val="0"/>
    </w:pPr>
    <w:rPr>
      <w:rFonts w:ascii="Arial" w:hAnsi="Arial" w:eastAsia="黑体"/>
      <w:b/>
      <w:color w:val="000000"/>
      <w:sz w:val="32"/>
    </w:rPr>
  </w:style>
  <w:style w:type="paragraph" w:customStyle="1" w:styleId="Heading2">
    <w:name w:val="heading 2"/>
    <w:pPr>
      <w:keepNext/>
      <w:keepLines w:val="0"/>
      <w:widowControl/>
      <w:spacing w:before="200" w:after="120" w:line="324" w:lineRule="auto"/>
      <w:outlineLvl w:val="1"/>
    </w:pPr>
    <w:rPr>
      <w:rFonts w:ascii="Arial" w:hAnsi="Arial" w:eastAsia="黑体"/>
      <w:b/>
      <w:color w:val="000000"/>
      <w:sz w:val="24"/>
    </w:rPr>
  </w:style>
  <w:style w:type="paragraph" w:customStyle="1" w:styleId="ProposalBullet">
    <w:name w:val="Proposal Bullet"/>
    <w:pPr>
      <w:keepLines w:val="0"/>
      <w:widowControl/>
      <w:spacing w:before="0" w:after="120" w:line="324" w:lineRule="auto"/>
      <w:ind w:left="255" w:hanging="255"/>
    </w:pPr>
    <w:rPr>
      <w:rFonts w:ascii="Arial" w:hAnsi="Arial" w:eastAsia="宋体"/>
      <w:b w:val="0"/>
      <w:color w:val="000000"/>
      <w:sz w:val="22"/>
    </w:rPr>
  </w:style>
  <w:style w:type="paragraph" w:customStyle="1" w:styleId="ProposalTable">
    <w:name w:val="Proposal Table"/>
    <w:pPr>
      <w:keepLines w:val="0"/>
      <w:widowControl/>
      <w:spacing w:before="60" w:after="60" w:line="288" w:lineRule="auto"/>
    </w:pPr>
    <w:rPr>
      <w:rFonts w:ascii="Arial" w:hAnsi="Arial" w:eastAsia="宋体"/>
      <w:b w:val="0"/>
      <w:color w:val="000000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yperlink" Target="https://docs.langchain.com/oss/python/langgraph/workflows-agents" TargetMode="External"/><Relationship Id="rId9" Type="http://schemas.openxmlformats.org/officeDocument/2006/relationships/hyperlink" Target="https://github.com/quantsingularity/Multi-Agent-AI-Systems-for-Financial-Fraud-Detection" TargetMode="External"/><Relationship Id="rId10" Type="http://schemas.openxmlformats.org/officeDocument/2006/relationships/hyperlink" Target="https://github.com/tonyhyworld/TraceArena" TargetMode="External"/><Relationship Id="rId11" Type="http://schemas.openxmlformats.org/officeDocument/2006/relationships/hyperlink" Target="https://www.cninfo.com.cn/new/index" TargetMode="External"/><Relationship Id="rId12" Type="http://schemas.openxmlformats.org/officeDocument/2006/relationships/hyperlink" Target="https://www.sse.com.cn/disclosure/listedinfo/announcement/" TargetMode="External"/><Relationship Id="rId13" Type="http://schemas.openxmlformats.org/officeDocument/2006/relationships/hyperlink" Target="https://journals.plos.org/plosone/article?id=10.1371/journal.pone.0118432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 WWO_wpscloud_20260916174450-7bfc4fa662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2026-09-21T09:02:00Z</dcterms:created>
  <dc:creator>Apache POI</dc:creator>
  <dcterms:modified xsi:type="dcterms:W3CDTF">2026-09-21T09:04:07Z</dcterms:modified>
  <dc:title>财务异常识别与舞弊风险核验 多智能体协同方案修订大纲</dc:title>
  <dc:subject>云端 API 本地轻量 Web 本地统计计算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{"Label":"1","ContentProducer":"001191110102MACQD9K64010000","ProduceID":"7687787735016492231","ReservedCode1":"","ContentPropagator":"","PropagateID":"","ReservedCode2":""}</vt:lpwstr>
  </property>
  <property fmtid="{D5CDD505-2E9C-101B-9397-08002B2CF9AE}" pid="3" name="KSOProductBuildVer">
    <vt:lpwstr>2052-12.9.0.29121</vt:lpwstr>
  </property>
  <property fmtid="{D5CDD505-2E9C-101B-9397-08002B2CF9AE}" pid="4" name="ICV">
    <vt:lpwstr>FC7D906D417172028782B06ADCC2170C_43</vt:lpwstr>
  </property>
</Properties>
</file>