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40" w:line="240" w:lineRule="auto"/>
        <w:ind w:firstLine="0" w:left="0"/>
        <w:jc w:val="left"/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hAnsi="Times New Roman" w:cs="Times New Roman" w:eastAsia="黑体"/>
          <w:b/>
          <w:i w:val="0"/>
          <w:color w:val="000000"/>
          <w:sz w:val="36"/>
          <w:u w:val="none"/>
        </w:rPr>
        <w:t>项目计划书修改信息同步</w:t>
      </w:r>
    </w:p>
    <w:p>
      <w:pPr>
        <w:keepNext/>
        <w:widowControl/>
        <w:spacing w:before="0" w:after="160" w:line="240" w:lineRule="auto"/>
        <w:ind w:firstLine="0" w:left="0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2026年9月23日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这份说明供负责修改项目计划书的队友使用。请依据上次给出的原始大纲《多智能体协同财务欺诈识别方案总结大纲》修改计划书，可以继续沿用原来的十三部分。主旨是：第一版做上市公司财报的财务异常识别和舞弊风险核验，输出能回到原文和计算依据的风险线索；异常信号不能直接写成舞弊认定，尚未实验的效果也不能提前写入计划书。</w:t>
      </w:r>
    </w:p>
    <w:p>
      <w:pPr>
        <w:pStyle w:val="Heading1"/>
        <w:keepNext/>
        <w:keepLines/>
        <w:widowControl/>
        <w:spacing w:before="220" w:after="60" w:line="252" w:lineRule="auto"/>
        <w:ind w:firstLine="0" w:left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u w:val="none"/>
        </w:rPr>
        <w:t>一、项目方向和第一版范围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项目对应竞赛方向二，上市公司财务报告分析。计划书应写明，从年度报告、半年度报告和季度报告中提取财务指标，分析业绩变化，并输出财务异常与舞弊风险线索及其依据。这些线索用于提示进一步核查，不能直接认定公司存在舞弊。事实、推论、观点和仍待核查的事项要分开写。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第一版采用云端模型 API、本地轻量 Web 和本地 Python 计算：云端模型负责组织分析，本机浏览器用于查看结果，财务计算在本地完成。智能体编排只使用 LangGraph。模型供应方和具体型号尚未选定，计划书不要写死某一家。这一版不做本地模型训练，也不做大模型与传统分类器的联合训练。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分析先覆盖口径可比的非金融公司，并先处理文字可以选取的文本型财报。基础分析包括同比、环比、非经常性损益、会计口径变化，以及利润与现金流的差异。复杂扫描件和特殊金融行业报表，这一版不承诺自动完成。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多角色分工可以保留，并增加独立核验。数值和来源必须回到财报原文核对。几个模型彼此认同，不能当作已经验证。规则指数只表示透明的复核优先级，不是舞弊概率；所用阈值和识别效果都还没有验证。历史上的监管处罚只作为隔离的评测标签，不能进入当时可供分析的材料。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报告要保留证据链。核验使用三种状态：通过、冲突、证据不足。每次运行要能够追溯。报告写明适用范围；某一项冲突或证据不足时，保留该状态，不改写成确定结论。以后再用字段提取、计算、引用、核验、最终报告，以及去掉核验环节的对照实验，检验这套做法是否有价值。实验完成之前，不能预先声称识别效果。</w:t>
      </w:r>
    </w:p>
    <w:p>
      <w:pPr>
        <w:pStyle w:val="Heading1"/>
        <w:keepNext/>
        <w:keepLines/>
        <w:widowControl/>
        <w:spacing w:before="220" w:after="60" w:line="252" w:lineRule="auto"/>
        <w:ind w:firstLine="0" w:left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u w:val="none"/>
        </w:rPr>
        <w:t>二、相比上次大纲需要调整的核心表述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不必把大纲十三节全部重写。多角色分工、文字信息与结构化财务信息并用、为判断保留证据链，这些设想可以留下。独立核验是这次相对上次大纲的关键改动。下面几类说法请在计划书中删改。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编排只写 LangGraph。请删除 LangGraph 与 CrewAI 混合编排，以及把其他协作框架或搭建平台写成第一版依赖的说法。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大模型与传统分类器联合训练、伪标签、企业关系网络和多模态融合，不要写成第一版内容。若仍想保留，请单独标为以后研究，并与第一版要交付的内容分开。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连续评分和分级预警不要写成已经校准的舞弊概率。若保留分数，只说明它用来安排复核顺序。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监管处罚不要列入历史分析数据。它只能在评测时作为隔离标签，并对应到受影响的报告期，不能放进当时的分析材料。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性能、泛化能力和结果可复现不要写得过于确定。日志和固定环境有助于追溯。在线模型不能只靠固定随机种子保证每次输出一致；没有实验时，也不能宣称已经具备识别效果或稳定的泛化能力。</w:t>
      </w:r>
    </w:p>
    <w:p>
      <w:pPr>
        <w:pStyle w:val="Heading1"/>
        <w:keepNext/>
        <w:keepLines/>
        <w:widowControl/>
        <w:spacing w:before="220" w:after="60" w:line="252" w:lineRule="auto"/>
        <w:ind w:firstLine="0" w:left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u w:val="none"/>
        </w:rPr>
        <w:t>三、目前已有的可如实写入的进展与仍待实现事项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截至2026年9月23日，可以如实写入的进展是：已在一份公开的2024年年度报告上，完成文本读取，提取四项年度指标并计算同比，完成一次年度预检，并在引用位置内复核了金额和单位换算。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请同时写明界限。这只是一份有限样例上的部分数值检查，还没有完成完整的财报事实核验，没有完成异常分析和舞弊分析，没有完成云端模型实测和智能体流程，也没有打通从上传材料到形成报告的完整过程。目前没有识别效果实验。不要把这份样例写成系统已经能够识别舞弊。</w:t>
      </w:r>
    </w:p>
    <w:p>
      <w:pPr>
        <w:pStyle w:val="Heading1"/>
        <w:keepNext/>
        <w:keepLines/>
        <w:widowControl/>
        <w:spacing w:before="220" w:after="60" w:line="252" w:lineRule="auto"/>
        <w:ind w:firstLine="0" w:left="0"/>
        <w:jc w:val="left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  <w:u w:val="none"/>
        </w:rPr>
        <w:t>四、计划书重点修改建议</w:t>
      </w:r>
    </w:p>
    <w:p>
      <w:pPr>
        <w:widowControl/>
        <w:spacing w:before="0" w:after="120" w:line="269" w:lineRule="auto"/>
        <w:ind w:firstLine="420"/>
        <w:jc w:val="both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请沿用现有十三部分，只改过时或说得过满的句子。修改时以这份同步为准，原始大纲文件本身保持不动。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定位、总体思路和架构，改成上文的第一版范围，写清方向二、输出线索、以及云端模型 API、本地轻量 Web 和本地 Python 计算。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分工保留原有角色，把独立核验写成形成报告前的必要环节，并写明数值和来源都要回到原文。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数据部分把监管处罚移出分析输入，改为隔离的评测标签。模型、流程和输出部分不写联合训练，改为证据链、三种核验状态和有边界的报告。</w:t>
      </w:r>
    </w:p>
    <w:p>
      <w:pPr>
        <w:widowControl/>
        <w:spacing w:before="0" w:after="60" w:line="259" w:lineRule="auto"/>
        <w:ind w:left="482" w:hanging="227"/>
        <w:jc w:val="left"/>
      </w:pPr>
      <w:r>
        <w:rPr>
          <w:rFonts w:ascii="Times New Roman" w:hAnsi="Times New Roman" w:cs="Times New Roman" w:eastAsia="宋体"/>
          <w:b w:val="0"/>
          <w:i w:val="0"/>
          <w:color w:val="000000"/>
          <w:sz w:val="22"/>
          <w:u w:val="none"/>
        </w:rPr>
        <w:t>·  评估、创新和风险部分，写成以后要用字段、计算、引用、核验、最终报告和去核验对照实验来验证的安排。删去或改写已经确定的性能、泛化和复现承诺。</w:t>
      </w:r>
    </w:p>
    <w:sectPr w:rsidR="00FC693F" w:rsidRPr="0006063C" w:rsidSect="00034616">
      <w:pgSz w:w="12240" w:h="15840"/>
      <w:pgMar w:top="1037" w:right="1368" w:bottom="979" w:left="1368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Times New Roman" w:hAnsi="Times New Roman" w:cs="Times New Roman" w:eastAsia="黑体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项目计划书修改信息同步</dc:title>
  <dc:subject>供修改项目计划书时对照原始大纲使用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