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40" w:after="80"/>
        <w:jc w:val="center"/>
      </w:pPr>
      <w:r>
        <w:rPr>
          <w:rFonts w:ascii="Arial" w:hAnsi="Arial" w:eastAsia="宋体" w:cs="Arial"/>
          <w:b/>
          <w:color w:val="000000"/>
          <w:sz w:val="24"/>
        </w:rPr>
        <w:t>FINTRACE</w:t>
      </w:r>
    </w:p>
    <w:p>
      <w:pPr>
        <w:pStyle w:val="Title"/>
        <w:keepNext/>
        <w:jc w:val="center"/>
      </w:pPr>
      <w:r>
        <w:t>多智能体协同财务异常识别与舞弊风险线索核验项目计划书</w:t>
      </w:r>
    </w:p>
    <w:p>
      <w:pPr>
        <w:pStyle w:val="Subtitle"/>
        <w:spacing w:after="280"/>
        <w:jc w:val="center"/>
      </w:pPr>
      <w:r>
        <w:rPr>
          <w:rFonts w:ascii="黑体" w:hAnsi="黑体" w:eastAsia="宋体" w:cs="黑体"/>
          <w:b/>
          <w:color w:val="000000"/>
          <w:sz w:val="25"/>
        </w:rPr>
        <w:t>选题二  上市公司财务报告分析</w:t>
      </w:r>
    </w:p>
    <w:p>
      <w:pPr>
        <w:pStyle w:val="ProposalSmall"/>
        <w:spacing w:after="160"/>
        <w:jc w:val="center"/>
      </w:pPr>
      <w:r>
        <w:rPr>
          <w:rFonts w:ascii="宋体" w:hAnsi="宋体" w:eastAsia="宋体" w:cs="宋体"/>
          <w:b w:val="0"/>
          <w:color w:val="4A4A4A"/>
          <w:sz w:val="18"/>
        </w:rPr>
        <w:t>进展截至 2026 年 10 月 1 日</w:t>
      </w:r>
    </w:p>
    <w:p>
      <w:pPr>
        <w:pStyle w:val="Heading1"/>
      </w:pPr>
      <w:r>
        <w:t>执行摘要</w:t>
      </w:r>
    </w:p>
    <w:p>
      <w:pPr/>
      <w:r>
        <w:t>上市公司财报分析要先确认哪些指标发生变化、比较口径是否成立，再判断年报原文能否解释变化，并指出仍需核查的事项。FINTRACE 面向非金融上市公司文本型财报，输出带来源的指标对照、经核验的事实与计算、候选异常线索和后续核查路径，供分析人员复核。模型生成的解释作为观点单列，异常线索不构成舞弊认定。</w:t>
      </w:r>
    </w:p>
    <w:p>
      <w:pPr/>
      <w:r>
        <w:t>现有确定性年度流程（M2）已在海天味业 603288 的 2024 年报样例上完成一条分析闭环：8 条事实、8 项计算、16 条确定性主张通过对应核验，形成 2 条候选信号。报告期营收同比增加 9.53%，归母净利润增加 12.75%，经营现金流净额下降 6.96%；数字变化已核验，原因仍待年报材料进一步支持。四规则筛查（M3）已有独立试行路径，AI 调查与最终评审也有显式工作流和本地模拟验证；二者当前分为不同模式。</w:t>
      </w:r>
    </w:p>
    <w:p>
      <w:pPr/>
      <w:r>
        <w:t>下一关是让一个可回放的新任务同时呈现清楚的变化、具体原文支持的解释和可点击证据，并完成新增最终评审的真实在线验收。随后再以人工核对的跨公司样本评估错误拒绝、误报、弃权、覆盖和运行成本；半年报与季度同比环比作为后续扩展。</w:t>
      </w:r>
    </w:p>
    <w:p>
      <w:pPr>
        <w:pStyle w:val="Heading1"/>
      </w:pPr>
      <w:r>
        <w:t>内容提要</w:t>
      </w:r>
    </w:p>
    <w:p>
      <w:pPr>
        <w:pStyle w:val="ProposalSmall"/>
        <w:spacing w:after="28"/>
        <w:ind w:left="170"/>
      </w:pPr>
      <w:r>
        <w:rPr>
          <w:rFonts w:ascii="宋体" w:hAnsi="宋体" w:eastAsia="宋体" w:cs="宋体"/>
          <w:b w:val="0"/>
          <w:color w:val="202020"/>
          <w:sz w:val="19"/>
        </w:rPr>
        <w:t>一 方案定位</w:t>
      </w:r>
    </w:p>
    <w:p>
      <w:pPr>
        <w:pStyle w:val="ProposalSmall"/>
        <w:spacing w:after="28"/>
        <w:ind w:left="170"/>
      </w:pPr>
      <w:r>
        <w:rPr>
          <w:rFonts w:ascii="宋体" w:hAnsi="宋体" w:eastAsia="宋体" w:cs="宋体"/>
          <w:b w:val="0"/>
          <w:color w:val="202020"/>
          <w:sz w:val="19"/>
        </w:rPr>
        <w:t>二 总体思路</w:t>
      </w:r>
    </w:p>
    <w:p>
      <w:pPr>
        <w:pStyle w:val="ProposalSmall"/>
        <w:spacing w:after="28"/>
        <w:ind w:left="170"/>
      </w:pPr>
      <w:r>
        <w:rPr>
          <w:rFonts w:ascii="宋体" w:hAnsi="宋体" w:eastAsia="宋体" w:cs="宋体"/>
          <w:b w:val="0"/>
          <w:color w:val="202020"/>
          <w:sz w:val="19"/>
        </w:rPr>
        <w:t>三 总体架构</w:t>
      </w:r>
    </w:p>
    <w:p>
      <w:pPr>
        <w:pStyle w:val="ProposalSmall"/>
        <w:spacing w:after="28"/>
        <w:ind w:left="170"/>
      </w:pPr>
      <w:r>
        <w:rPr>
          <w:rFonts w:ascii="宋体" w:hAnsi="宋体" w:eastAsia="宋体" w:cs="宋体"/>
          <w:b w:val="0"/>
          <w:color w:val="202020"/>
          <w:sz w:val="19"/>
        </w:rPr>
        <w:t>四 技术栈与开发工具</w:t>
      </w:r>
    </w:p>
    <w:p>
      <w:pPr>
        <w:pStyle w:val="ProposalSmall"/>
        <w:spacing w:after="28"/>
        <w:ind w:left="170"/>
      </w:pPr>
      <w:r>
        <w:rPr>
          <w:rFonts w:ascii="宋体" w:hAnsi="宋体" w:eastAsia="宋体" w:cs="宋体"/>
          <w:b w:val="0"/>
          <w:color w:val="202020"/>
          <w:sz w:val="19"/>
        </w:rPr>
        <w:t>五 多智能体分工</w:t>
      </w:r>
    </w:p>
    <w:p>
      <w:pPr>
        <w:pStyle w:val="ProposalSmall"/>
        <w:spacing w:after="28"/>
        <w:ind w:left="170"/>
      </w:pPr>
      <w:r>
        <w:rPr>
          <w:rFonts w:ascii="宋体" w:hAnsi="宋体" w:eastAsia="宋体" w:cs="宋体"/>
          <w:b w:val="0"/>
          <w:color w:val="202020"/>
          <w:sz w:val="19"/>
        </w:rPr>
        <w:t>六 数据与标注</w:t>
      </w:r>
    </w:p>
    <w:p>
      <w:pPr>
        <w:pStyle w:val="ProposalSmall"/>
        <w:spacing w:after="28"/>
        <w:ind w:left="170"/>
      </w:pPr>
      <w:r>
        <w:rPr>
          <w:rFonts w:ascii="宋体" w:hAnsi="宋体" w:eastAsia="宋体" w:cs="宋体"/>
          <w:b w:val="0"/>
          <w:color w:val="202020"/>
          <w:sz w:val="19"/>
        </w:rPr>
        <w:t>七 模型与财务方法</w:t>
      </w:r>
    </w:p>
    <w:p>
      <w:pPr>
        <w:pStyle w:val="ProposalSmall"/>
        <w:spacing w:after="28"/>
        <w:ind w:left="170"/>
      </w:pPr>
      <w:r>
        <w:rPr>
          <w:rFonts w:ascii="宋体" w:hAnsi="宋体" w:eastAsia="宋体" w:cs="宋体"/>
          <w:b w:val="0"/>
          <w:color w:val="202020"/>
          <w:sz w:val="19"/>
        </w:rPr>
        <w:t>八 分析流程</w:t>
      </w:r>
    </w:p>
    <w:p>
      <w:pPr>
        <w:pStyle w:val="ProposalSmall"/>
        <w:spacing w:after="28"/>
        <w:ind w:left="170"/>
      </w:pPr>
      <w:r>
        <w:rPr>
          <w:rFonts w:ascii="宋体" w:hAnsi="宋体" w:eastAsia="宋体" w:cs="宋体"/>
          <w:b w:val="0"/>
          <w:color w:val="202020"/>
          <w:sz w:val="19"/>
        </w:rPr>
        <w:t>九 输出与证据链</w:t>
      </w:r>
    </w:p>
    <w:p>
      <w:pPr>
        <w:pStyle w:val="ProposalSmall"/>
        <w:spacing w:after="28"/>
        <w:ind w:left="170"/>
      </w:pPr>
      <w:r>
        <w:rPr>
          <w:rFonts w:ascii="宋体" w:hAnsi="宋体" w:eastAsia="宋体" w:cs="宋体"/>
          <w:b w:val="0"/>
          <w:color w:val="202020"/>
          <w:sz w:val="19"/>
        </w:rPr>
        <w:t>十 评估方案</w:t>
      </w:r>
    </w:p>
    <w:p>
      <w:pPr>
        <w:pStyle w:val="ProposalSmall"/>
        <w:spacing w:after="28"/>
        <w:ind w:left="170"/>
      </w:pPr>
      <w:r>
        <w:rPr>
          <w:rFonts w:ascii="宋体" w:hAnsi="宋体" w:eastAsia="宋体" w:cs="宋体"/>
          <w:b w:val="0"/>
          <w:color w:val="202020"/>
          <w:sz w:val="19"/>
        </w:rPr>
        <w:t>十一 可追溯与运行记录</w:t>
      </w:r>
    </w:p>
    <w:p>
      <w:pPr>
        <w:pStyle w:val="ProposalSmall"/>
        <w:spacing w:after="28"/>
        <w:ind w:left="170"/>
      </w:pPr>
      <w:r>
        <w:rPr>
          <w:rFonts w:ascii="宋体" w:hAnsi="宋体" w:eastAsia="宋体" w:cs="宋体"/>
          <w:b w:val="0"/>
          <w:color w:val="202020"/>
          <w:sz w:val="19"/>
        </w:rPr>
        <w:t>十二 方案价值</w:t>
      </w:r>
    </w:p>
    <w:p>
      <w:pPr>
        <w:pStyle w:val="ProposalSmall"/>
        <w:spacing w:after="28"/>
        <w:ind w:left="170"/>
      </w:pPr>
      <w:r>
        <w:rPr>
          <w:rFonts w:ascii="宋体" w:hAnsi="宋体" w:eastAsia="宋体" w:cs="宋体"/>
          <w:b w:val="0"/>
          <w:color w:val="202020"/>
          <w:sz w:val="19"/>
        </w:rPr>
        <w:t>十三 风险与推进计划</w:t>
      </w:r>
    </w:p>
    <w:p>
      <w:r>
        <w:br w:type="page"/>
      </w:r>
    </w:p>
    <w:p>
      <w:pPr>
        <w:pStyle w:val="Heading1"/>
      </w:pPr>
      <w:r>
        <w:t>一 方案定位</w:t>
      </w:r>
    </w:p>
    <w:p>
      <w:pPr>
        <w:pStyle w:val="Heading2"/>
      </w:pPr>
      <w:r>
        <w:t>竞赛任务与用户问题</w:t>
      </w:r>
    </w:p>
    <w:p>
      <w:pPr/>
      <w:r>
        <w:t>本项目对应 2026 年北京市大学生金融人工智能竞赛选题二“上市公司财务报告分析”。该选题要求从上市公司年度、半年度和季度报告中提取财务指标，分析业绩变化原因及异常信号，并关注同比、环比、非经常性损益、会计口径变化和利润与现金流差异。FINTRACE 将任务落到一个可复核的问题：报告中的变化是什么，比较是否可靠，公开材料能否解释变化，证据不足时应查什么。</w:t>
      </w:r>
    </w:p>
    <w:p>
      <w:pPr/>
      <w:r>
        <w:t>当前起步样例是非金融上市公司海天味业 603288 的 2024 年年报。初赛阶段以该年度报告完成端到端分析，目的是验证流程和证据呈现；这不表示项目只定义年度报告，也不表示半年度、季度或所有公司的分析能力已经验收。模型辅助文本解释以大语言模型承担核心推理，Python 工具负责取数复核与财务计算。</w:t>
      </w:r>
    </w:p>
    <w:p>
      <w:pPr>
        <w:pStyle w:val="Heading2"/>
      </w:pPr>
      <w:r>
        <w:t>用户与产品输出</w:t>
      </w:r>
    </w:p>
    <w:p>
      <w:pPr/>
      <w:r>
        <w:t>主要使用者是需要快速核查经营变化的分析人员。产品应先显示公司和报告期、关键指标本期与比较期、变动方向、核验状态与原因是否已得到原文支持；再提供候选线索、原文页图、计算依据和下一步查看的材料。用户读到的是“已核验的变化、尚未解释的问题、可以继续核对的出处”，不是自动作出的舞弊判断。</w:t>
      </w:r>
    </w:p>
    <w:p>
      <w:pPr>
        <w:pStyle w:val="ProposalSmall"/>
        <w:keepNext/>
      </w:pPr>
      <w:r>
        <w:rPr>
          <w:rFonts w:ascii="宋体" w:hAnsi="宋体" w:eastAsia="宋体" w:cs="宋体"/>
          <w:b/>
          <w:color w:val="343A40"/>
          <w:sz w:val="18"/>
        </w:rPr>
        <w:t>表 1 当前能力与适用边界</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3005"/>
        <w:gridCol w:w="3005"/>
        <w:gridCol w:w="3005"/>
      </w:tblGrid>
      <w:tr>
        <w:trPr>
          <w:tblHeader w:val="true"/>
        </w:trPr>
        <w:tc>
          <w:tcPr>
            <w:tcW w:type="dxa" w:w="1786"/>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环节</w:t>
            </w:r>
          </w:p>
        </w:tc>
        <w:tc>
          <w:tcPr>
            <w:tcW w:type="dxa" w:w="4104"/>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当前可核实进展</w:t>
            </w:r>
          </w:p>
        </w:tc>
        <w:tc>
          <w:tcPr>
            <w:tcW w:type="dxa" w:w="2952"/>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边界</w:t>
            </w:r>
          </w:p>
        </w:tc>
      </w:tr>
      <w:tr>
        <w:trPr>
          <w:cantSplit/>
        </w:trPr>
        <w:tc>
          <w:tcPr>
            <w:tcW w:type="dxa" w:w="178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确定性年度分析</w:t>
            </w:r>
          </w:p>
        </w:tc>
        <w:tc>
          <w:tcPr>
            <w:tcW w:type="dxa" w:w="410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海天 2024 样例完成事实、比较、计算、筛查、主张核验与归档</w:t>
            </w:r>
          </w:p>
        </w:tc>
        <w:tc>
          <w:tcPr>
            <w:tcW w:type="dxa" w:w="2952"/>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单公司单年度样例；不等于跨公司泛化</w:t>
            </w:r>
          </w:p>
        </w:tc>
      </w:tr>
      <w:tr>
        <w:trPr>
          <w:cantSplit/>
        </w:trPr>
        <w:tc>
          <w:tcPr>
            <w:tcW w:type="dxa" w:w="178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M3 四规则</w:t>
            </w:r>
          </w:p>
        </w:tc>
        <w:tc>
          <w:tcPr>
            <w:tcW w:type="dxa" w:w="4104"/>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四条规则及字段核验已有显式试行路径，海天样例四条可算</w:t>
            </w:r>
          </w:p>
        </w:tc>
        <w:tc>
          <w:tcPr>
            <w:tcW w:type="dxa" w:w="2952"/>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与 AI 调查分模式；阈值未校准</w:t>
            </w:r>
          </w:p>
        </w:tc>
      </w:tr>
      <w:tr>
        <w:trPr>
          <w:cantSplit/>
        </w:trPr>
        <w:tc>
          <w:tcPr>
            <w:tcW w:type="dxa" w:w="178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AI 调查与评审</w:t>
            </w:r>
          </w:p>
        </w:tc>
        <w:tc>
          <w:tcPr>
            <w:tcW w:type="dxa" w:w="410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调查单例有真实在线记录；最终评审通过本地模拟验证</w:t>
            </w:r>
          </w:p>
        </w:tc>
        <w:tc>
          <w:tcPr>
            <w:tcW w:type="dxa" w:w="2952"/>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真实在线最终评审尚未验收；观点不是事实核验</w:t>
            </w:r>
          </w:p>
        </w:tc>
      </w:tr>
      <w:tr>
        <w:trPr>
          <w:cantSplit/>
        </w:trPr>
        <w:tc>
          <w:tcPr>
            <w:tcW w:type="dxa" w:w="178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半年报与季报</w:t>
            </w:r>
          </w:p>
        </w:tc>
        <w:tc>
          <w:tcPr>
            <w:tcW w:type="dxa" w:w="4104"/>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已形成期间换算与比较设计</w:t>
            </w:r>
          </w:p>
        </w:tc>
        <w:tc>
          <w:tcPr>
            <w:tcW w:type="dxa" w:w="2952"/>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当前生产分析聚焦年报，季度链路未实现</w:t>
            </w:r>
          </w:p>
        </w:tc>
      </w:tr>
    </w:tbl>
    <w:p>
      <w:pPr>
        <w:spacing w:after="20" w:before="40"/>
        <w:ind w:firstLine="0"/>
      </w:pPr>
    </w:p>
    <w:p>
      <w:pPr>
        <w:pStyle w:val="Heading1"/>
      </w:pPr>
      <w:r>
        <w:t>二 总体思路</w:t>
      </w:r>
    </w:p>
    <w:p>
      <w:pPr/>
      <w:r>
        <w:t>FINTRACE 将一份年报拆成来源登记、文本读取、财务事实提取、独立核验、比较与计算、规则筛查、文本调查、主张核验和报告归档等可检查环节。每个环节都保留输入、结果和失败状态；当单位、期间、口径或出处不足时，停止相应计算并说明缺口。</w:t>
      </w:r>
    </w:p>
    <w:p>
      <w:pPr/>
      <w:r>
        <w:t>数值任务优先由本地程序完成。提取模块给出带来源位置的候选事实，核验过程再回到 PDF 检查金额、单位、期间和报表口径；财务公式在本地按 Decimal 计算，并由独立计算检查器核对输入和结果。语言模型可以检索同一报告中的解释材料，组织待核查事项，但不能用自己的重复回答证明金额或因果关系。</w:t>
      </w:r>
    </w:p>
    <w:p>
      <w:pPr/>
      <w:r>
        <w:t>系统保留 Manager、提取、计算筛查、文本调查、独立核验、线索整理和报告生成等职责。职责划分用于确定流程输入输出，并不意味着每项确定性工具本身都是一个自主运行的大模型 Agent。实际模型节点由 LangGraph 组织；PDF 解析、计算和核验是可独立审计的工具与业务模块。</w:t>
      </w:r>
    </w:p>
    <w:p>
      <w:pPr>
        <w:pStyle w:val="Heading1"/>
      </w:pPr>
      <w:r>
        <w:t>三 总体架构</w:t>
      </w:r>
    </w:p>
    <w:p>
      <w:pPr/>
      <w:r>
        <w:t>系统由本机浏览器、FastAPI 服务、LangGraph 调查流程、确定性分析工具和本地运行归档组成。用户选择已保存年报或上传文本型 PDF 后创建任务；API 读取任务模式并调用相应年度分析入口；任务完成后，前端读取同一 run_id 的结构化报告和符合核验条件的证据页图。旧年度预检继续作为单独的兼容流程。</w:t>
      </w:r>
    </w:p>
    <w:p>
      <w:pPr>
        <w:pStyle w:val="ProposalSmall"/>
        <w:keepNext/>
      </w:pPr>
      <w:r>
        <w:rPr>
          <w:rFonts w:ascii="宋体" w:hAnsi="宋体" w:eastAsia="宋体" w:cs="宋体"/>
          <w:b/>
          <w:color w:val="343A40"/>
          <w:sz w:val="18"/>
        </w:rPr>
        <w:t>表 2 系统分层与职责</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3005"/>
        <w:gridCol w:w="3005"/>
        <w:gridCol w:w="3005"/>
      </w:tblGrid>
      <w:tr>
        <w:trPr>
          <w:tblHeader w:val="true"/>
        </w:trPr>
        <w:tc>
          <w:tcPr>
            <w:tcW w:type="dxa" w:w="1555"/>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层次</w:t>
            </w:r>
          </w:p>
        </w:tc>
        <w:tc>
          <w:tcPr>
            <w:tcW w:type="dxa" w:w="2592"/>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组成</w:t>
            </w:r>
          </w:p>
        </w:tc>
        <w:tc>
          <w:tcPr>
            <w:tcW w:type="dxa" w:w="4694"/>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职责</w:t>
            </w:r>
          </w:p>
        </w:tc>
      </w:tr>
      <w:tr>
        <w:trPr>
          <w:cantSplit/>
        </w:trPr>
        <w:tc>
          <w:tcPr>
            <w:tcW w:type="dxa" w:w="1555"/>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交互层</w:t>
            </w:r>
          </w:p>
        </w:tc>
        <w:tc>
          <w:tcPr>
            <w:tcW w:type="dxa" w:w="2592"/>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React、TypeScript、Vite</w:t>
            </w:r>
          </w:p>
        </w:tc>
        <w:tc>
          <w:tcPr>
            <w:tcW w:type="dxa" w:w="469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创建年报分析任务；呈现指标变化、任务状态、核验结果和原文页图</w:t>
            </w:r>
          </w:p>
        </w:tc>
      </w:tr>
      <w:tr>
        <w:trPr>
          <w:cantSplit/>
        </w:trPr>
        <w:tc>
          <w:tcPr>
            <w:tcW w:type="dxa" w:w="1555"/>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服务层</w:t>
            </w:r>
          </w:p>
        </w:tc>
        <w:tc>
          <w:tcPr>
            <w:tcW w:type="dxa" w:w="2592"/>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Python、FastAPI</w:t>
            </w:r>
          </w:p>
        </w:tc>
        <w:tc>
          <w:tcPr>
            <w:tcW w:type="dxa" w:w="4694"/>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接收任务、校验来源、查询任务状态、读取已归档报告</w:t>
            </w:r>
          </w:p>
        </w:tc>
      </w:tr>
      <w:tr>
        <w:trPr>
          <w:cantSplit/>
        </w:trPr>
        <w:tc>
          <w:tcPr>
            <w:tcW w:type="dxa" w:w="1555"/>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编排层</w:t>
            </w:r>
          </w:p>
        </w:tc>
        <w:tc>
          <w:tcPr>
            <w:tcW w:type="dxa" w:w="2592"/>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LangGraph StateGraph</w:t>
            </w:r>
          </w:p>
        </w:tc>
        <w:tc>
          <w:tcPr>
            <w:tcW w:type="dxa" w:w="469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在显式 AI 模式中安排调查、有限同源检索与最终评审</w:t>
            </w:r>
          </w:p>
        </w:tc>
      </w:tr>
      <w:tr>
        <w:trPr>
          <w:cantSplit/>
        </w:trPr>
        <w:tc>
          <w:tcPr>
            <w:tcW w:type="dxa" w:w="1555"/>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计算核验层</w:t>
            </w:r>
          </w:p>
        </w:tc>
        <w:tc>
          <w:tcPr>
            <w:tcW w:type="dxa" w:w="2592"/>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Python 财务模块与 verification</w:t>
            </w:r>
          </w:p>
        </w:tc>
        <w:tc>
          <w:tcPr>
            <w:tcW w:type="dxa" w:w="4694"/>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提取事实、检查来源与口径、执行 Decimal 计算及独立计算核验</w:t>
            </w:r>
          </w:p>
        </w:tc>
      </w:tr>
      <w:tr>
        <w:trPr>
          <w:cantSplit/>
        </w:trPr>
        <w:tc>
          <w:tcPr>
            <w:tcW w:type="dxa" w:w="1555"/>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资料与归档层</w:t>
            </w:r>
          </w:p>
        </w:tc>
        <w:tc>
          <w:tcPr>
            <w:tcW w:type="dxa" w:w="2592"/>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data/raw、artifacts/runs、artifacts/reports</w:t>
            </w:r>
          </w:p>
        </w:tc>
        <w:tc>
          <w:tcPr>
            <w:tcW w:type="dxa" w:w="469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保留原文、任务中间结果、JSON/Markdown 报告与调用审计</w:t>
            </w:r>
          </w:p>
        </w:tc>
      </w:tr>
    </w:tbl>
    <w:p>
      <w:pPr>
        <w:spacing w:after="20" w:before="40"/>
        <w:ind w:firstLine="0"/>
      </w:pPr>
    </w:p>
    <w:p>
      <w:pPr/>
      <w:r>
        <w:t>原文 PDF、解析文本和任务产物保存在本地；模型模式只向所配置服务发送任务所需的文本片段。Web 通过本机代理管理模型设置，确定性和 M3 任务不调用模型。当前服务不包含用户账户或远程云部署；模型在线调用仍需要网络，并受供应方服务条件和比赛现场网络规定约束。</w:t>
      </w:r>
    </w:p>
    <w:p>
      <w:pPr>
        <w:pStyle w:val="Heading1"/>
      </w:pPr>
      <w:r>
        <w:t>四 技术栈与开发工具</w:t>
      </w:r>
    </w:p>
    <w:p>
      <w:pPr/>
      <w:r>
        <w:t>前端采用 React、TypeScript 与 Vite；后端采用 Python 与 FastAPI；文本型 PDF 解析依赖 PyMuPDF；模型调查使用 LangGraph。LangGraph 是第一版唯一的智能体编排框架，且作为 agents 可选依赖。财务计算和数值核验由本地 Python 执行，不要求本地 GPU，也不训练或微调模型。</w:t>
      </w:r>
    </w:p>
    <w:p>
      <w:pPr/>
      <w:r>
        <w:t>云端模型通过 OpenAI 兼容 Chat Completions 的公共字段调用。Qwen、DeepSeek 与 OpenAI 是候选服务类型，当前没有项目默认供应商或型号。2026 年 9 月的海天单例曾通过 DeepSeek 官方接口调用两次，形成两条未核实解释；该次服务选择是单例验收条件，不构成项目默认选型。Web 仅在配置完成时开放 AI 模式；页面设置状态表示配置可用，不代表在线调用已成功。</w:t>
      </w:r>
    </w:p>
    <w:p>
      <w:pPr/>
      <w:r>
        <w:t>第三方软件和数据的名称、版本、来源、许可证或服务条件、用途范围，应随代码和依赖清单一并说明。已记录的 PDF 解析器 PyMuPDF 1.27.2.3 用于读取文本型 PDF，不执行 OCR；其官方许可为 AGPLv3 或商业许可，公开年报当前仅记录为本地开发使用，未确认再分发许可。前后端依赖的具体版本与登记状态见项目 README 和锁定文件。</w:t>
      </w:r>
    </w:p>
    <w:p>
      <w:pPr/>
      <w:r>
        <w:t>当前不纳入本地模型服务、模型训练、用户登录、多租户、云端业务平台、OCR、任意互联网检索、向量数据库、GraphRAG、企业关系网络或容器化部署承诺。若后续需要，将先评估它们对证据质量、运行复现和比赛现场条件的实际作用。</w:t>
      </w:r>
    </w:p>
    <w:p>
      <w:pPr>
        <w:pStyle w:val="Heading1"/>
      </w:pPr>
      <w:r>
        <w:t>五 多智能体分工</w:t>
      </w:r>
    </w:p>
    <w:p>
      <w:pPr/>
      <w:r>
        <w:t>下表保留原方案的七类职责，说明哪些由现有确定性模块承接，哪些属于模型流程设计。角色之间共享同一任务状态与来源白名单，不通过模型之间的一致意见替代独立核验。</w:t>
      </w:r>
    </w:p>
    <w:p>
      <w:pPr>
        <w:pStyle w:val="ProposalSmall"/>
        <w:keepNext/>
      </w:pPr>
      <w:r>
        <w:rPr>
          <w:rFonts w:ascii="宋体" w:hAnsi="宋体" w:eastAsia="宋体" w:cs="宋体"/>
          <w:b/>
          <w:color w:val="343A40"/>
          <w:sz w:val="18"/>
        </w:rPr>
        <w:t>表 3 职责设计与现有落地方式</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3005"/>
        <w:gridCol w:w="3005"/>
        <w:gridCol w:w="3005"/>
      </w:tblGrid>
      <w:tr>
        <w:trPr>
          <w:tblHeader w:val="true"/>
        </w:trPr>
        <w:tc>
          <w:tcPr>
            <w:tcW w:type="dxa" w:w="1786"/>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6"/>
              </w:rPr>
              <w:t>职责</w:t>
            </w:r>
          </w:p>
        </w:tc>
        <w:tc>
          <w:tcPr>
            <w:tcW w:type="dxa" w:w="3816"/>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6"/>
              </w:rPr>
              <w:t>工作内容</w:t>
            </w:r>
          </w:p>
        </w:tc>
        <w:tc>
          <w:tcPr>
            <w:tcW w:type="dxa" w:w="3240"/>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6"/>
              </w:rPr>
              <w:t>当前落地状态</w:t>
            </w:r>
          </w:p>
        </w:tc>
      </w:tr>
      <w:tr>
        <w:trPr>
          <w:cantSplit/>
        </w:trPr>
        <w:tc>
          <w:tcPr>
            <w:tcW w:type="dxa" w:w="178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Manager</w:t>
            </w:r>
          </w:p>
        </w:tc>
        <w:tc>
          <w:tcPr>
            <w:tcW w:type="dxa" w:w="381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拆分任务、选择有界流程、记录节点结果与停止状态</w:t>
            </w:r>
          </w:p>
        </w:tc>
        <w:tc>
          <w:tcPr>
            <w:tcW w:type="dxa" w:w="3240"/>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FastAPI 可启动年度任务；AI 调查由 LangGraph 控制</w:t>
            </w:r>
          </w:p>
        </w:tc>
      </w:tr>
      <w:tr>
        <w:trPr>
          <w:cantSplit/>
        </w:trPr>
        <w:tc>
          <w:tcPr>
            <w:tcW w:type="dxa" w:w="178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数据提取</w:t>
            </w:r>
          </w:p>
        </w:tc>
        <w:tc>
          <w:tcPr>
            <w:tcW w:type="dxa" w:w="381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读取文本 PDF，形成带单位、期间和页码的候选事实</w:t>
            </w:r>
          </w:p>
        </w:tc>
        <w:tc>
          <w:tcPr>
            <w:tcW w:type="dxa" w:w="3240"/>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PyMuPDF 与年度字段切片已接入确定性流程</w:t>
            </w:r>
          </w:p>
        </w:tc>
      </w:tr>
      <w:tr>
        <w:trPr>
          <w:cantSplit/>
        </w:trPr>
        <w:tc>
          <w:tcPr>
            <w:tcW w:type="dxa" w:w="178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指标计算与筛查</w:t>
            </w:r>
          </w:p>
        </w:tc>
        <w:tc>
          <w:tcPr>
            <w:tcW w:type="dxa" w:w="381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比较期间、计算指标并产生待检查规则线索</w:t>
            </w:r>
          </w:p>
        </w:tc>
        <w:tc>
          <w:tcPr>
            <w:tcW w:type="dxa" w:w="3240"/>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Decimal 计算与 M3 四规则为本地工具；规则路径独立</w:t>
            </w:r>
          </w:p>
        </w:tc>
      </w:tr>
      <w:tr>
        <w:trPr>
          <w:cantSplit/>
        </w:trPr>
        <w:tc>
          <w:tcPr>
            <w:tcW w:type="dxa" w:w="178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文本分析</w:t>
            </w:r>
          </w:p>
        </w:tc>
        <w:tc>
          <w:tcPr>
            <w:tcW w:type="dxa" w:w="381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检索年报披露，组织解释及尚缺的证据</w:t>
            </w:r>
          </w:p>
        </w:tc>
        <w:tc>
          <w:tcPr>
            <w:tcW w:type="dxa" w:w="3240"/>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LangGraph 可选调查路径已编码；真实在线仅有候选调查单例</w:t>
            </w:r>
          </w:p>
        </w:tc>
      </w:tr>
      <w:tr>
        <w:trPr>
          <w:cantSplit/>
        </w:trPr>
        <w:tc>
          <w:tcPr>
            <w:tcW w:type="dxa" w:w="178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独立核验</w:t>
            </w:r>
          </w:p>
        </w:tc>
        <w:tc>
          <w:tcPr>
            <w:tcW w:type="dxa" w:w="381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重新核对原文、比较口径、计算输入与引用支持</w:t>
            </w:r>
          </w:p>
        </w:tc>
        <w:tc>
          <w:tcPr>
            <w:tcW w:type="dxa" w:w="3240"/>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海天 M2 样例的事实、计算与 Claim 核验已验收</w:t>
            </w:r>
          </w:p>
        </w:tc>
      </w:tr>
      <w:tr>
        <w:trPr>
          <w:cantSplit/>
        </w:trPr>
        <w:tc>
          <w:tcPr>
            <w:tcW w:type="dxa" w:w="178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线索汇总</w:t>
            </w:r>
          </w:p>
        </w:tc>
        <w:tc>
          <w:tcPr>
            <w:tcW w:type="dxa" w:w="381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并列已核验变化、冲突、观点和后续核查材料</w:t>
            </w:r>
          </w:p>
        </w:tc>
        <w:tc>
          <w:tcPr>
            <w:tcW w:type="dxa" w:w="3240"/>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报告与页面已有分层呈现；跨公司覆盖仍待验证</w:t>
            </w:r>
          </w:p>
        </w:tc>
      </w:tr>
      <w:tr>
        <w:trPr>
          <w:cantSplit/>
        </w:trPr>
        <w:tc>
          <w:tcPr>
            <w:tcW w:type="dxa" w:w="178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报告生成</w:t>
            </w:r>
          </w:p>
        </w:tc>
        <w:tc>
          <w:tcPr>
            <w:tcW w:type="dxa" w:w="381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生成可追溯结构化结果和供阅读的报告</w:t>
            </w:r>
          </w:p>
        </w:tc>
        <w:tc>
          <w:tcPr>
            <w:tcW w:type="dxa" w:w="3240"/>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JSON、Markdown 归档及 Web 读取已实现；产品级 PDF 导出未实现</w:t>
            </w:r>
          </w:p>
        </w:tc>
      </w:tr>
    </w:tbl>
    <w:p>
      <w:pPr>
        <w:spacing w:after="20" w:before="40"/>
        <w:ind w:firstLine="0"/>
      </w:pPr>
    </w:p>
    <w:p>
      <w:pPr/>
      <w:r>
        <w:t>当前的模型职责是对候选变化开展有限文本调查并形成观点。模型不直接负责财务公式、原文坐标金额复核或规则分数；这些任务由确定性工具处理。新增加的最终评审用于检查报告观点和待查事项，不具有财务事实核验权限。</w:t>
      </w:r>
    </w:p>
    <w:p>
      <w:pPr>
        <w:pStyle w:val="Heading1"/>
      </w:pPr>
      <w:r>
        <w:t>六 数据与标注</w:t>
      </w:r>
    </w:p>
    <w:p>
      <w:pPr>
        <w:pStyle w:val="Heading2"/>
      </w:pPr>
      <w:r>
        <w:t>数据范围和使用条件</w:t>
      </w:r>
    </w:p>
    <w:p>
      <w:pPr/>
      <w:r>
        <w:t>当前正式端到端案例使用海天味业 603288 的 2024 年年度报告。项目另保存贵州茅台 600519 和五粮液 000858 的 2024 年报告用于跨公司事实定位检查；这两份案例仍是待人工复核的暂定参考，尚未构成经人工复核的标准答案、异常标签或舞弊标签。原始 PDF 与解析结果保持分离，原文件不被清洗过程覆盖，并用来源标识与 SHA256 关联处理记录。</w:t>
      </w:r>
    </w:p>
    <w:p>
      <w:pPr/>
      <w:r>
        <w:t>海天年报来自巨潮资讯网，原始 PDF 共 208 页，项目确认该文件可提取文字；部分表格存在图像内容，当前不做 OCR。海天、茅台和五粮液三份报告目前均记录为本地开发使用，未确认再分发许可。初赛或现场演示若需分发原文，应先核对授权，或由评审方按官方来源自行获取。</w:t>
      </w:r>
    </w:p>
    <w:p>
      <w:pPr>
        <w:pStyle w:val="Heading2"/>
      </w:pPr>
      <w:r>
        <w:t>处理与标注原则</w:t>
      </w:r>
    </w:p>
    <w:p>
      <w:pPr/>
      <w:r>
        <w:t>每条事实关联公司、报告期、来源文件、PDF 物理页序号、报表或表格位置、原始值、标准值、单位、币种、期间类型、合并或母公司口径及追溯状态。解析结果进入处理区，正式任务的输入哈希、代码与规则版本、调用和计算审计进入独立运行目录。缺失值保留缺失；不同币种、期间或口径不兼容时，不静默换算或拼接。</w:t>
      </w:r>
    </w:p>
    <w:p>
      <w:pPr/>
      <w:r>
        <w:t>后续建立人工参考集时，样本单位为“公司 + 报告期”。分析输入截止时间与标签观察截止时间分开记录。处罚认定、人工答案和事后调查材料只作为隔离的评测标签，不能进入对应历史运行的检索或模型输入。构造错误与真实材料分开标识；“截至观察期未发现相关认定”也不等于确认没有舞弊。</w:t>
      </w:r>
    </w:p>
    <w:p>
      <w:pPr>
        <w:pStyle w:val="Heading1"/>
      </w:pPr>
      <w:r>
        <w:t>七 模型与财务方法</w:t>
      </w:r>
    </w:p>
    <w:p>
      <w:pPr>
        <w:pStyle w:val="Heading2"/>
      </w:pPr>
      <w:r>
        <w:t>期间比较和基础计算</w:t>
      </w:r>
    </w:p>
    <w:p>
      <w:pPr/>
      <w:r>
        <w:t>年度同比以同一指标、同一公司和可比的报告期为前提。仅当比较期金额为正、单位币种及会计口径匹配，且追溯调整状态足以支持比较时，才输出通常意义的同比增长率；基数为零或负数时保留差额或说明盈亏转换，不显示常规增速。依据原始金额使用 Decimal 计算，展示时再四舍五入。</w:t>
      </w:r>
    </w:p>
    <w:p>
      <w:pPr/>
      <w:r>
        <w:t>季度扩展需要区分流量与时点余额。收入、成本、利润和现金流等流量指标只有在累计期间、单位、币种和合并范围一致时，才可由半年累计减一季度或前三季度累计减上半年得到单季值；资产负债表余额是时点数，不能做累计差分。同比比较上年同季，环比比较相邻季度；比较基数为零或负数时按规则弃权。以上属于拟扩展的方法，当前正式链路聚焦年度报告。</w:t>
      </w:r>
    </w:p>
    <w:p>
      <w:pPr/>
      <w:r>
        <w:t>非经常性损益分析需同时检查归属于母公司股东的净利润、扣除非经常性损益后的归母净利润及披露明细。披露的非经常性损益合计与扣非归母净利润不是可互换字段，不用前者直接除以归母净利润代替口径核对。会计政策、追溯重述和合并范围变化影响年度可比性；当前已有有限比较证据检查，但全面的会计变更自动识别仍属后续工作。</w:t>
      </w:r>
    </w:p>
    <w:p>
      <w:pPr>
        <w:pStyle w:val="Heading2"/>
      </w:pPr>
      <w:r>
        <w:t>M3 四条试行规则</w:t>
      </w:r>
    </w:p>
    <w:p>
      <w:pPr/>
      <w:r>
        <w:t>M3 使用独立核验通过的输入生成年度候选线索。规则阈值是待验证的试行值，每条命中计 25 分；完整可计算时分数范围为 0 至 100。任一规则因缺失事实、币种或口径冲突、比较证据不足、非正基数等原因弃权，整体分数也弃权，不把缺失当作零分。分数只用于提示复核顺序，不是舞弊概率、置信度或公司健康评级。</w:t>
      </w:r>
    </w:p>
    <w:p>
      <w:pPr>
        <w:pStyle w:val="ProposalSmall"/>
        <w:keepNext/>
      </w:pPr>
      <w:r>
        <w:rPr>
          <w:rFonts w:ascii="宋体" w:hAnsi="宋体" w:eastAsia="宋体" w:cs="宋体"/>
          <w:b/>
          <w:color w:val="343A40"/>
          <w:sz w:val="18"/>
        </w:rPr>
        <w:t>表 4 M3 年度规则和试行条件</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3005"/>
        <w:gridCol w:w="3005"/>
        <w:gridCol w:w="3005"/>
      </w:tblGrid>
      <w:tr>
        <w:trPr>
          <w:tblHeader w:val="true"/>
        </w:trPr>
        <w:tc>
          <w:tcPr>
            <w:tcW w:type="dxa" w:w="1872"/>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规则</w:t>
            </w:r>
          </w:p>
        </w:tc>
        <w:tc>
          <w:tcPr>
            <w:tcW w:type="dxa" w:w="4824"/>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触发条件</w:t>
            </w:r>
          </w:p>
        </w:tc>
        <w:tc>
          <w:tcPr>
            <w:tcW w:type="dxa" w:w="2146"/>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计分与特别限制</w:t>
            </w:r>
          </w:p>
        </w:tc>
      </w:tr>
      <w:tr>
        <w:trPr>
          <w:cantSplit/>
        </w:trPr>
        <w:tc>
          <w:tcPr>
            <w:tcW w:type="dxa" w:w="1872"/>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利润与现金流</w:t>
            </w:r>
          </w:p>
        </w:tc>
        <w:tc>
          <w:tcPr>
            <w:tcW w:type="dxa" w:w="482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合并净利润 &gt; 0 且经营活动现金流量净额 &lt; 0</w:t>
            </w:r>
          </w:p>
        </w:tc>
        <w:tc>
          <w:tcPr>
            <w:tcW w:type="dxa" w:w="214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命中 25 分；要求期间与合并口径一致</w:t>
            </w:r>
          </w:p>
        </w:tc>
      </w:tr>
      <w:tr>
        <w:trPr>
          <w:cantSplit/>
        </w:trPr>
        <w:tc>
          <w:tcPr>
            <w:tcW w:type="dxa" w:w="1872"/>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非经常性影响</w:t>
            </w:r>
          </w:p>
        </w:tc>
        <w:tc>
          <w:tcPr>
            <w:tcW w:type="dxa" w:w="4824"/>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归母净利润 &gt; 0，且 abs（归母净利润 − 扣非归母净利润）÷ 归母净利润 ≥ 30%</w:t>
            </w:r>
          </w:p>
        </w:tc>
        <w:tc>
          <w:tcPr>
            <w:tcW w:type="dxa" w:w="214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命中 25 分；扣非字段需规则专属语义映射</w:t>
            </w:r>
          </w:p>
        </w:tc>
      </w:tr>
      <w:tr>
        <w:trPr>
          <w:cantSplit/>
        </w:trPr>
        <w:tc>
          <w:tcPr>
            <w:tcW w:type="dxa" w:w="1872"/>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应收偏离</w:t>
            </w:r>
          </w:p>
        </w:tc>
        <w:tc>
          <w:tcPr>
            <w:tcW w:type="dxa" w:w="482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应收账款净额同比增速 − 营业收入同比增速 ≥ 20 个百分点</w:t>
            </w:r>
          </w:p>
        </w:tc>
        <w:tc>
          <w:tcPr>
            <w:tcW w:type="dxa" w:w="214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命中 25 分；两项增长率须可计算</w:t>
            </w:r>
          </w:p>
        </w:tc>
      </w:tr>
      <w:tr>
        <w:trPr>
          <w:cantSplit/>
        </w:trPr>
        <w:tc>
          <w:tcPr>
            <w:tcW w:type="dxa" w:w="1872"/>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存货偏离</w:t>
            </w:r>
          </w:p>
        </w:tc>
        <w:tc>
          <w:tcPr>
            <w:tcW w:type="dxa" w:w="4824"/>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存货净额同比增速 − 营业成本同比增速 ≥ 20 个百分点</w:t>
            </w:r>
          </w:p>
        </w:tc>
        <w:tc>
          <w:tcPr>
            <w:tcW w:type="dxa" w:w="214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命中 25 分；两项增长率须可计算</w:t>
            </w:r>
          </w:p>
        </w:tc>
      </w:tr>
    </w:tbl>
    <w:p>
      <w:pPr>
        <w:spacing w:after="20" w:before="40"/>
        <w:ind w:firstLine="0"/>
      </w:pPr>
    </w:p>
    <w:p>
      <w:pPr/>
      <w:r>
        <w:t>M3 海天正式样例中四条规则均可计算，总分为 0；18 条直接核验结果支持其输入。该结果只说明这个样例当次未触发四条试行规则，不表明公司没有异常。规则二对扣非归母净利润的跨表语义映射仅支持海天 603288 2024 年报第 7 页的已核验版式；其他公司或期间缺少对应核验凭据时必须弃权。</w:t>
      </w:r>
    </w:p>
    <w:p>
      <w:pPr>
        <w:pStyle w:val="Heading2"/>
      </w:pPr>
      <w:r>
        <w:t>模型调查与最终评审</w:t>
      </w:r>
    </w:p>
    <w:p>
      <w:pPr/>
      <w:r>
        <w:t>显式 AI 模式由 LangGraph 安排候选调查、同一报告内的有限检索与一次结构化最终评审，补充检索最多一次。2026 年 9 月 28 日对海天 2024 样例完成的 DeepSeek 官方接口单例包含两次候选调查，得到两条尚未核实的解释；其中一条检索材料只提供现金流总额或章节标题，不能据此确定业务因果。该历史单例发生在最终评审实现之前。新评审已经通过本地模拟流程检查，真实在线最终评审仍待验收。</w:t>
      </w:r>
    </w:p>
    <w:p>
      <w:pPr/>
      <w:r>
        <w:t>AI 调查和 M3 筛查目前是两种互斥运行模式，不能把它们写成同一个任务已经完成。模型意见、原文引用 ID 的结构绑定和结构化输出检查均不等于语义事实核验；缺少具体、相关原文时，报告应保留“原因待查”。</w:t>
      </w:r>
    </w:p>
    <w:p>
      <w:pPr>
        <w:pStyle w:val="Heading1"/>
      </w:pPr>
      <w:r>
        <w:t>八 分析流程</w:t>
      </w:r>
    </w:p>
    <w:p>
      <w:pPr/>
      <w:r>
        <w:t>正式确定性年度路径从用户选定的 data/raw 年报或上传文本 PDF 开始。系统登记来源身份与 SHA256，提取文本和字段后，独立重读原文核对数值、单位、期间和口径；再检查同年报内的两年列能否比较，执行本地计算、独立计算复核、确定性筛查与主张依据核验，最后按 run_id 归档 JSON 和 Markdown 报告。</w:t>
      </w:r>
    </w:p>
    <w:p>
      <w:commentRangeStart w:id="0"/>
      <w:pPr/>
      <w:r>
        <w:t>海天 M2 运行在同一份 2024 年报中使用 2024 与 2023 比较列，并依据第 116、163、197 页对追溯事项作可比性检查。这里的 2023 数值来自 2024 年报的比较列，没有独立重算此前已披露的 2023 年报。完成该限定范围的检查后，8 条事实、8 项计算和 16 条确定性主张均通过对应核验，报告形成 2 条候选信号。</w:t>
      </w:r>
      <w:commentRangeEnd w:id="0"/>
      <w:r>
        <w:commentReference w:id="0"/>
      </w:r>
    </w:p>
    <w:p>
      <w:pPr/>
      <w:r>
        <w:t>本机 Web 可上传 PDF 或启动已保存的海天样例任务，展示实际阶段、失败或中断状态，并在成功后读取对应 run_id 报告和已核验证据页图。M3 需显式选择试行筛查；AI 模式需能力配置就绪后单独选择。当前没有产品级报告导出；初赛需要的计划书 PDF 是比赛文件格式要求，不能与产品内导出功能混为一谈。</w:t>
      </w:r>
    </w:p>
    <w:p>
      <w:pPr>
        <w:pStyle w:val="Heading1"/>
      </w:pPr>
      <w:r>
        <w:t>九 输出与证据链</w:t>
      </w:r>
    </w:p>
    <w:p>
      <w:pPr>
        <w:pStyle w:val="Heading2"/>
      </w:pPr>
      <w:r>
        <w:t>呈现顺序</w:t>
      </w:r>
    </w:p>
    <w:p>
      <w:pPr/>
      <w:r>
        <w:t>结果页先回答用户关心的事项：公司和报告期、关键变化及核验状态、原因是否有可靠披露依据、可以查看哪一处原文。随后展示关键指标的本期值、比较期值、差额或同比、币种单位、口径、比较状态和计算依据。候选异常、事实、推论、模型观点和待核查事项分别标记；文件哈希、调用详情及内部标识作为审计信息保留。</w:t>
      </w:r>
    </w:p>
    <w:p>
      <w:pPr>
        <w:pStyle w:val="ProposalSmall"/>
        <w:keepNext/>
      </w:pPr>
      <w:r>
        <w:rPr>
          <w:rFonts w:ascii="宋体" w:hAnsi="宋体" w:eastAsia="宋体" w:cs="宋体"/>
          <w:b/>
          <w:color w:val="343A40"/>
          <w:sz w:val="18"/>
        </w:rPr>
        <w:t>表 5 海天味业 2024 年报样例的已核验年度对照</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2253"/>
        <w:gridCol w:w="2253"/>
        <w:gridCol w:w="2253"/>
        <w:gridCol w:w="2253"/>
      </w:tblGrid>
      <w:tr>
        <w:trPr>
          <w:tblHeader w:val="true"/>
        </w:trPr>
        <w:tc>
          <w:tcPr>
            <w:tcW w:type="dxa" w:w="2520"/>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8"/>
              </w:rPr>
              <w:t>指标</w:t>
            </w:r>
          </w:p>
        </w:tc>
        <w:tc>
          <w:tcPr>
            <w:tcW w:type="dxa" w:w="2232"/>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8"/>
              </w:rPr>
              <w:t>2024 报告年</w:t>
            </w:r>
          </w:p>
        </w:tc>
        <w:tc>
          <w:tcPr>
            <w:tcW w:type="dxa" w:w="2232"/>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8"/>
              </w:rPr>
              <w:t>2023 比较列</w:t>
            </w:r>
          </w:p>
        </w:tc>
        <w:tc>
          <w:tcPr>
            <w:tcW w:type="dxa" w:w="1858"/>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8"/>
              </w:rPr>
              <w:t>同比变化</w:t>
            </w:r>
          </w:p>
        </w:tc>
      </w:tr>
      <w:tr>
        <w:trPr>
          <w:cantSplit/>
        </w:trPr>
        <w:tc>
          <w:tcPr>
            <w:tcW w:type="dxa" w:w="2520"/>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8"/>
              </w:rPr>
              <w:t>营业收入</w:t>
            </w:r>
          </w:p>
        </w:tc>
        <w:tc>
          <w:tcPr>
            <w:tcW w:type="dxa" w:w="2232"/>
            <w:vAlign w:val="center"/>
            <w:tcMar>
              <w:top w:w="95" w:type="dxa"/>
              <w:start w:w="110" w:type="dxa"/>
              <w:bottom w:w="95" w:type="dxa"/>
              <w:end w:w="110" w:type="dxa"/>
            </w:tcMar>
          </w:tcPr>
          <w:p>
            <w:pPr>
              <w:spacing w:after="0" w:line="259" w:lineRule="auto"/>
              <w:ind w:firstLine="0"/>
              <w:jc w:val="center"/>
            </w:pPr>
            <w:r>
              <w:rPr>
                <w:rFonts w:ascii="宋体" w:hAnsi="宋体" w:eastAsia="宋体" w:cs="宋体"/>
                <w:b w:val="0"/>
                <w:color w:val="202020"/>
                <w:sz w:val="18"/>
              </w:rPr>
              <w:t>269.01 亿元</w:t>
            </w:r>
          </w:p>
        </w:tc>
        <w:tc>
          <w:tcPr>
            <w:tcW w:type="dxa" w:w="2232"/>
            <w:vAlign w:val="center"/>
            <w:tcMar>
              <w:top w:w="95" w:type="dxa"/>
              <w:start w:w="110" w:type="dxa"/>
              <w:bottom w:w="95" w:type="dxa"/>
              <w:end w:w="110" w:type="dxa"/>
            </w:tcMar>
          </w:tcPr>
          <w:p>
            <w:pPr>
              <w:spacing w:after="0" w:line="259" w:lineRule="auto"/>
              <w:ind w:firstLine="0"/>
              <w:jc w:val="center"/>
            </w:pPr>
            <w:r>
              <w:rPr>
                <w:rFonts w:ascii="宋体" w:hAnsi="宋体" w:eastAsia="宋体" w:cs="宋体"/>
                <w:b w:val="0"/>
                <w:color w:val="202020"/>
                <w:sz w:val="18"/>
              </w:rPr>
              <w:t>245.59 亿元</w:t>
            </w:r>
          </w:p>
        </w:tc>
        <w:tc>
          <w:tcPr>
            <w:tcW w:type="dxa" w:w="1858"/>
            <w:vAlign w:val="center"/>
            <w:tcMar>
              <w:top w:w="95" w:type="dxa"/>
              <w:start w:w="110" w:type="dxa"/>
              <w:bottom w:w="95" w:type="dxa"/>
              <w:end w:w="110" w:type="dxa"/>
            </w:tcMar>
          </w:tcPr>
          <w:p>
            <w:pPr>
              <w:spacing w:after="0" w:line="259" w:lineRule="auto"/>
              <w:ind w:firstLine="0"/>
              <w:jc w:val="center"/>
            </w:pPr>
            <w:r>
              <w:rPr>
                <w:rFonts w:ascii="宋体" w:hAnsi="宋体" w:eastAsia="宋体" w:cs="宋体"/>
                <w:b w:val="0"/>
                <w:color w:val="202020"/>
                <w:sz w:val="18"/>
              </w:rPr>
              <w:t>+9.53%</w:t>
            </w:r>
          </w:p>
        </w:tc>
      </w:tr>
      <w:tr>
        <w:trPr>
          <w:cantSplit/>
        </w:trPr>
        <w:tc>
          <w:tcPr>
            <w:tcW w:type="dxa" w:w="2520"/>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8"/>
              </w:rPr>
              <w:t>归母净利润</w:t>
            </w:r>
          </w:p>
        </w:tc>
        <w:tc>
          <w:tcPr>
            <w:tcW w:type="dxa" w:w="2232"/>
            <w:vAlign w:val="center"/>
            <w:tcMar>
              <w:top w:w="95" w:type="dxa"/>
              <w:start w:w="110" w:type="dxa"/>
              <w:bottom w:w="95" w:type="dxa"/>
              <w:end w:w="110" w:type="dxa"/>
            </w:tcMar>
            <w:shd w:fill="F6F8FA"/>
          </w:tcPr>
          <w:p>
            <w:pPr>
              <w:spacing w:after="0" w:line="259" w:lineRule="auto"/>
              <w:ind w:firstLine="0"/>
              <w:jc w:val="center"/>
            </w:pPr>
            <w:r>
              <w:rPr>
                <w:rFonts w:ascii="宋体" w:hAnsi="宋体" w:eastAsia="宋体" w:cs="宋体"/>
                <w:b w:val="0"/>
                <w:color w:val="202020"/>
                <w:sz w:val="18"/>
              </w:rPr>
              <w:t>63.44 亿元</w:t>
            </w:r>
          </w:p>
        </w:tc>
        <w:tc>
          <w:tcPr>
            <w:tcW w:type="dxa" w:w="2232"/>
            <w:vAlign w:val="center"/>
            <w:tcMar>
              <w:top w:w="95" w:type="dxa"/>
              <w:start w:w="110" w:type="dxa"/>
              <w:bottom w:w="95" w:type="dxa"/>
              <w:end w:w="110" w:type="dxa"/>
            </w:tcMar>
            <w:shd w:fill="F6F8FA"/>
          </w:tcPr>
          <w:p>
            <w:pPr>
              <w:spacing w:after="0" w:line="259" w:lineRule="auto"/>
              <w:ind w:firstLine="0"/>
              <w:jc w:val="center"/>
            </w:pPr>
            <w:r>
              <w:rPr>
                <w:rFonts w:ascii="宋体" w:hAnsi="宋体" w:eastAsia="宋体" w:cs="宋体"/>
                <w:b w:val="0"/>
                <w:color w:val="202020"/>
                <w:sz w:val="18"/>
              </w:rPr>
              <w:t>56.27 亿元</w:t>
            </w:r>
          </w:p>
        </w:tc>
        <w:tc>
          <w:tcPr>
            <w:tcW w:type="dxa" w:w="1858"/>
            <w:vAlign w:val="center"/>
            <w:tcMar>
              <w:top w:w="95" w:type="dxa"/>
              <w:start w:w="110" w:type="dxa"/>
              <w:bottom w:w="95" w:type="dxa"/>
              <w:end w:w="110" w:type="dxa"/>
            </w:tcMar>
            <w:shd w:fill="F6F8FA"/>
          </w:tcPr>
          <w:p>
            <w:pPr>
              <w:spacing w:after="0" w:line="259" w:lineRule="auto"/>
              <w:ind w:firstLine="0"/>
              <w:jc w:val="center"/>
            </w:pPr>
            <w:r>
              <w:rPr>
                <w:rFonts w:ascii="宋体" w:hAnsi="宋体" w:eastAsia="宋体" w:cs="宋体"/>
                <w:b w:val="0"/>
                <w:color w:val="202020"/>
                <w:sz w:val="18"/>
              </w:rPr>
              <w:t>+12.75%</w:t>
            </w:r>
          </w:p>
        </w:tc>
      </w:tr>
      <w:tr>
        <w:trPr>
          <w:cantSplit/>
        </w:trPr>
        <w:tc>
          <w:tcPr>
            <w:tcW w:type="dxa" w:w="2520"/>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8"/>
              </w:rPr>
              <w:t>经营现金流量净额</w:t>
            </w:r>
          </w:p>
        </w:tc>
        <w:tc>
          <w:tcPr>
            <w:tcW w:type="dxa" w:w="2232"/>
            <w:vAlign w:val="center"/>
            <w:tcMar>
              <w:top w:w="95" w:type="dxa"/>
              <w:start w:w="110" w:type="dxa"/>
              <w:bottom w:w="95" w:type="dxa"/>
              <w:end w:w="110" w:type="dxa"/>
            </w:tcMar>
          </w:tcPr>
          <w:p>
            <w:pPr>
              <w:spacing w:after="0" w:line="259" w:lineRule="auto"/>
              <w:ind w:firstLine="0"/>
              <w:jc w:val="center"/>
            </w:pPr>
            <w:r>
              <w:rPr>
                <w:rFonts w:ascii="宋体" w:hAnsi="宋体" w:eastAsia="宋体" w:cs="宋体"/>
                <w:b w:val="0"/>
                <w:color w:val="202020"/>
                <w:sz w:val="18"/>
              </w:rPr>
              <w:t>68.44 亿元</w:t>
            </w:r>
          </w:p>
        </w:tc>
        <w:tc>
          <w:tcPr>
            <w:tcW w:type="dxa" w:w="2232"/>
            <w:vAlign w:val="center"/>
            <w:tcMar>
              <w:top w:w="95" w:type="dxa"/>
              <w:start w:w="110" w:type="dxa"/>
              <w:bottom w:w="95" w:type="dxa"/>
              <w:end w:w="110" w:type="dxa"/>
            </w:tcMar>
          </w:tcPr>
          <w:p>
            <w:pPr>
              <w:spacing w:after="0" w:line="259" w:lineRule="auto"/>
              <w:ind w:firstLine="0"/>
              <w:jc w:val="center"/>
            </w:pPr>
            <w:r>
              <w:rPr>
                <w:rFonts w:ascii="宋体" w:hAnsi="宋体" w:eastAsia="宋体" w:cs="宋体"/>
                <w:b w:val="0"/>
                <w:color w:val="202020"/>
                <w:sz w:val="18"/>
              </w:rPr>
              <w:t>73.56 亿元</w:t>
            </w:r>
          </w:p>
        </w:tc>
        <w:tc>
          <w:tcPr>
            <w:tcW w:type="dxa" w:w="1858"/>
            <w:vAlign w:val="center"/>
            <w:tcMar>
              <w:top w:w="95" w:type="dxa"/>
              <w:start w:w="110" w:type="dxa"/>
              <w:bottom w:w="95" w:type="dxa"/>
              <w:end w:w="110" w:type="dxa"/>
            </w:tcMar>
          </w:tcPr>
          <w:p>
            <w:pPr>
              <w:spacing w:after="0" w:line="259" w:lineRule="auto"/>
              <w:ind w:firstLine="0"/>
              <w:jc w:val="center"/>
            </w:pPr>
            <w:r>
              <w:rPr>
                <w:rFonts w:ascii="宋体" w:hAnsi="宋体" w:eastAsia="宋体" w:cs="宋体"/>
                <w:b w:val="0"/>
                <w:color w:val="202020"/>
                <w:sz w:val="18"/>
              </w:rPr>
              <w:t>−6.96%</w:t>
            </w:r>
          </w:p>
        </w:tc>
      </w:tr>
    </w:tbl>
    <w:p>
      <w:pPr>
        <w:spacing w:after="20" w:before="40"/>
        <w:ind w:firstLine="0"/>
      </w:pPr>
    </w:p>
    <w:p>
      <w:commentRangeStart w:id="1"/>
      <w:pPr/>
      <w:r>
        <w:t>表中金额按亿元展示，增速按归档原始金额计算，未用展示后的舍入值重算。三项数据的比较列与单位、币种和合并口径来自海天 2024 年报及 M2 归档。营收与归母净利润上升而经营现金流净额下降，构成需要进一步查看现金流量表及相关附注的变化线索；该变化本身不能证明其成因，也不能认定舞弊。</w:t>
      </w:r>
      <w:commentRangeEnd w:id="1"/>
      <w:r>
        <w:commentReference w:id="1"/>
      </w:r>
    </w:p>
    <w:p>
      <w:pPr>
        <w:pStyle w:val="Heading2"/>
      </w:pPr>
      <w:r>
        <w:t>证据状态与报告结构</w:t>
      </w:r>
    </w:p>
    <w:p>
      <w:pPr/>
      <w:r>
        <w:t>每一条事实或计算都关联来源文件、PDF 物理页序号、原文位置、原始金额、标准化单位、报告期、报表口径和核验状态。页面只允许打开符合来源身份、独立核验和白名单条件的证据页图；尚未确认的提取位置显示为待核实定位，缺少可靠页码时显示原文位置待定位。页码用于找到材料，不会自动提高核验状态。</w:t>
      </w:r>
    </w:p>
    <w:p>
      <w:pPr/>
      <w:r>
        <w:t>报告状态包括核验通过、存在冲突和证据不足。主张分为事实、计算、推论和假设；同比属于计算，模型给出的原因属于观点。报告优先展示摘要、指标比较、候选线索、原因状态和建议核查材料；公式、完整 JSON、任务标识和审计日志用于展开核对。任何空缺原因不得由模板或模型补写成已证实解释。</w:t>
      </w:r>
    </w:p>
    <w:p>
      <w:pPr>
        <w:pStyle w:val="Heading1"/>
      </w:pPr>
      <w:r>
        <w:t>十 评估方案</w:t>
      </w:r>
    </w:p>
    <w:p>
      <w:pPr>
        <w:pStyle w:val="Heading2"/>
      </w:pPr>
      <w:r>
        <w:t>已有验证证据</w:t>
      </w:r>
    </w:p>
    <w:p>
      <w:pPr/>
      <w:r>
        <w:t>当前结果用于说明实现进度，不是业务准确率或舞弊识别成效。M2 是一家公司的一次确定性年度样例；M3 是四条规则在同一样例上的可计算检查；AI 在线结果只有候选解释单例；茅台和五粮液尚未完成人工复核。工程测试通过不等于财务结论正确，也不能替代隔离评测。</w:t>
      </w:r>
    </w:p>
    <w:p>
      <w:pPr>
        <w:pStyle w:val="ProposalSmall"/>
        <w:keepNext/>
      </w:pPr>
      <w:r>
        <w:rPr>
          <w:rFonts w:ascii="宋体" w:hAnsi="宋体" w:eastAsia="宋体" w:cs="宋体"/>
          <w:b/>
          <w:color w:val="343A40"/>
          <w:sz w:val="18"/>
        </w:rPr>
        <w:t>表 6 已完成的样例与消融证据</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3005"/>
        <w:gridCol w:w="3005"/>
        <w:gridCol w:w="3005"/>
      </w:tblGrid>
      <w:tr>
        <w:trPr>
          <w:tblHeader w:val="true"/>
        </w:trPr>
        <w:tc>
          <w:tcPr>
            <w:tcW w:type="dxa" w:w="1800"/>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证据</w:t>
            </w:r>
          </w:p>
        </w:tc>
        <w:tc>
          <w:tcPr>
            <w:tcW w:type="dxa" w:w="3528"/>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观察结果</w:t>
            </w:r>
          </w:p>
        </w:tc>
        <w:tc>
          <w:tcPr>
            <w:tcW w:type="dxa" w:w="3514"/>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可得结论与限制</w:t>
            </w:r>
          </w:p>
        </w:tc>
      </w:tr>
      <w:tr>
        <w:trPr>
          <w:cantSplit/>
        </w:trPr>
        <w:tc>
          <w:tcPr>
            <w:tcW w:type="dxa" w:w="1800"/>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M2 海天年度样例</w:t>
            </w:r>
          </w:p>
        </w:tc>
        <w:tc>
          <w:tcPr>
            <w:tcW w:type="dxa" w:w="352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8 条事实、8 项计算、16 条确定性主张通过核验；2 条候选信号</w:t>
            </w:r>
          </w:p>
        </w:tc>
        <w:tc>
          <w:tcPr>
            <w:tcW w:type="dxa" w:w="351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验证该样例的完整确定性链路；不代表跨公司泛化</w:t>
            </w:r>
          </w:p>
        </w:tc>
      </w:tr>
      <w:tr>
        <w:trPr>
          <w:cantSplit/>
        </w:trPr>
        <w:tc>
          <w:tcPr>
            <w:tcW w:type="dxa" w:w="1800"/>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M3 海天试行路径</w:t>
            </w:r>
          </w:p>
        </w:tc>
        <w:tc>
          <w:tcPr>
            <w:tcW w:type="dxa" w:w="3528"/>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18 条直接核验结果；4 条规则均可计算，总分 0</w:t>
            </w:r>
          </w:p>
        </w:tc>
        <w:tc>
          <w:tcPr>
            <w:tcW w:type="dxa" w:w="3514"/>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说明规则输入链路可运行；不代表样例公司无风险</w:t>
            </w:r>
          </w:p>
        </w:tc>
      </w:tr>
      <w:tr>
        <w:trPr>
          <w:cantSplit/>
        </w:trPr>
        <w:tc>
          <w:tcPr>
            <w:tcW w:type="dxa" w:w="1800"/>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在线 AI 调查</w:t>
            </w:r>
          </w:p>
        </w:tc>
        <w:tc>
          <w:tcPr>
            <w:tcW w:type="dxa" w:w="352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DeepSeek 官方接口单例形成 2 条未核实解释</w:t>
            </w:r>
          </w:p>
        </w:tc>
        <w:tc>
          <w:tcPr>
            <w:tcW w:type="dxa" w:w="351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只验收候选调查；未包含真实在线最终评审</w:t>
            </w:r>
          </w:p>
        </w:tc>
      </w:tr>
      <w:tr>
        <w:trPr>
          <w:cantSplit/>
        </w:trPr>
        <w:tc>
          <w:tcPr>
            <w:tcW w:type="dxa" w:w="1800"/>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M4 单公司消融</w:t>
            </w:r>
          </w:p>
        </w:tc>
        <w:tc>
          <w:tcPr>
            <w:tcW w:type="dxa" w:w="3528"/>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7 个已知案例；核验支路接受未注入错误样例 2/2、拒绝注入错误 5/5；绕过核验时接受错误 5/5</w:t>
            </w:r>
          </w:p>
        </w:tc>
        <w:tc>
          <w:tcPr>
            <w:tcW w:type="dxa" w:w="3514"/>
            <w:vAlign w:val="center"/>
            <w:tcMar>
              <w:top w:w="95" w:type="dxa"/>
              <w:start w:w="110" w:type="dxa"/>
              <w:bottom w:w="95" w:type="dxa"/>
              <w:end w:w="110" w:type="dxa"/>
            </w:tcMar>
            <w:shd w:fill="F6F8FA"/>
          </w:tcPr>
          <w:p>
            <w:commentRangeStart w:id="2"/>
            <w:pPr>
              <w:spacing w:after="0" w:line="259" w:lineRule="auto"/>
              <w:ind w:firstLine="0"/>
              <w:jc w:val="left"/>
            </w:pPr>
            <w:r>
              <w:rPr>
                <w:rFonts w:ascii="宋体" w:hAnsi="宋体" w:eastAsia="宋体" w:cs="宋体"/>
                <w:b w:val="0"/>
                <w:color w:val="202020"/>
                <w:sz w:val="17"/>
              </w:rPr>
              <w:t>受控基线；未注入错误样例的参考金额由智能体从原文转录，尚未经人工复核</w:t>
            </w:r>
            <w:commentRangeEnd w:id="2"/>
            <w:r>
              <w:commentReference w:id="2"/>
            </w:r>
          </w:p>
        </w:tc>
      </w:tr>
      <w:tr>
        <w:trPr>
          <w:cantSplit/>
        </w:trPr>
        <w:tc>
          <w:tcPr>
            <w:tcW w:type="dxa" w:w="1800"/>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跨公司参照</w:t>
            </w:r>
          </w:p>
        </w:tc>
        <w:tc>
          <w:tcPr>
            <w:tcW w:type="dxa" w:w="352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茅台事实已核验但比较证据不足；五粮液币种不明而弃权</w:t>
            </w:r>
          </w:p>
        </w:tc>
        <w:tc>
          <w:tcPr>
            <w:tcW w:type="dxa" w:w="351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案例均待人工审阅；不进入准确率分母</w:t>
            </w:r>
          </w:p>
        </w:tc>
      </w:tr>
    </w:tbl>
    <w:p>
      <w:pPr>
        <w:spacing w:after="20" w:before="40"/>
        <w:ind w:firstLine="0"/>
      </w:pPr>
    </w:p>
    <w:p>
      <w:pPr>
        <w:pStyle w:val="Heading2"/>
      </w:pPr>
      <w:r>
        <w:t>后续评价设计</w:t>
      </w:r>
    </w:p>
    <w:p>
      <w:pPr/>
      <w:r>
        <w:t>评测按公司和报告期组织，并把分析资料的可用时间与人工标签观察截止日分开。计划先由成员独立核对 3 至 5 家公司的参考案例，再在公司层面隔离开发、验证与测试，避免同一公司相邻年度和同一报告衍生片段跨集泄漏。3 至 5 家是团队内部目标，不是竞赛通知规定的最低样本数。未知标签和未确认对照保留为未知，不用于二分类准确率分母。</w:t>
      </w:r>
    </w:p>
    <w:p>
      <w:pPr/>
      <w:r>
        <w:t>核心指标按任务拆分：字段提取考察数值、单位、币种、期间、口径和原文定位；计算检查公式、输入口径和舍入前后的结果；引用核对页码是否正确且原文是否支持主张；核验报告注入错误的检出、错误拒绝和弃权；最终报告由人工逐条判断事实错误与无支持主张。各项同时报告覆盖率、人工介入、失败原因、时延和模型调用成本。</w:t>
      </w:r>
    </w:p>
    <w:p>
      <w:pPr/>
      <w:r>
        <w:t>比较有无独立核验时，应使用同一批候选材料，并尽量匹配模型、工具权限、停止条件与调用预算，以区分核验机制和额外资源的影响。错误拒绝率按“被核验拒绝的已知错误项 ÷ 全部已知错误项”计算；正常接受率按“被接受的人工确认无误项 ÷ 全部人工确认无误项”计算；弃权率为“弃权项 ÷ 全部纳入评测项”；覆盖率为“成功给出可核验结果的项目 ÷ 全部预先定义且适用的项目”。未知标签不进入分类准确率分母，但计入运行覆盖和弃权统计。案例纳入规则与适用范围应预先冻结，不能通过删除困难项提高覆盖率。只有取得经人工复核的舞弊或异常标签、定义报告级判断单位，并产生可比较的连续预测评分后，才考虑 AUC；F1 等指标还需预先规定判定阈值。当前规则分数未校准，不作为识别能力指标。</w:t>
      </w:r>
    </w:p>
    <w:p>
      <w:pPr>
        <w:pStyle w:val="Heading1"/>
      </w:pPr>
      <w:r>
        <w:t>十一 可追溯与运行记录</w:t>
      </w:r>
    </w:p>
    <w:p>
      <w:pPr/>
      <w:r>
        <w:t>系统按唯一 run_id 关联来源身份和哈希、代码版本或源码摘要、依赖、规则与提示词版本、任务模式、工具调用、计算输入与输出、核验证据、错误状态和最终报告。模型调用另记录供应方返回的模型标识、时间、参数和用量；写入审计前处理鉴权信息。日志用于解释这次运行如何得到结果，不代表在线模型能在另一时点逐字重复输出。</w:t>
      </w:r>
    </w:p>
    <w:p>
      <w:pPr/>
      <w:r>
        <w:t>项目区分三类过程：确定性计算可在相同输入上重新计算；历史报告读取属于归档回放；再次调用云端模型属于新的在线运行。页面和报告不把归档回放说成实时分析。原始资料留在本地；AI 调查仅使用当前年报内有限片段。设置页把模型密钥经本机代理提交给后端并存为本机配置文件，设置读取接口不返回密钥，确定性与 M3 任务不携带模型凭据。该配置与运行方式需要继续按现场安全边界验证，不能替代账号隔离或服务器级安全审查。</w:t>
      </w:r>
    </w:p>
    <w:p>
      <w:pPr/>
      <w:r>
        <w:t>项目分别维护后端和前端依赖及运行说明。比赛提交时应使展示版本、源码、提示词、依赖锁文件、第三方来源与许可登记保持一致；现场重跑时保存输入、代码与模型调用条件。模型供应方无法锁定或在线结果发生变化时，如实记录差异，不承诺完全相同。</w:t>
      </w:r>
    </w:p>
    <w:p>
      <w:pPr>
        <w:pStyle w:val="Heading1"/>
      </w:pPr>
      <w:r>
        <w:t>十二 方案价值</w:t>
      </w:r>
    </w:p>
    <w:p>
      <w:pPr/>
      <w:r>
        <w:t>本方案把财报自由问答中难以复核的数字与解释拆成可检查的事实、计算、主张和观点。可检验差异包括：金额能够回到原页与表格位置；比较需要通过期间和口径检查；公式由本地程序计算并另行检查；证据不足可以成为正式输出；后续实验可在相同候选案例上比较增加核验前后的错误接受情况。</w:t>
      </w:r>
    </w:p>
    <w:p>
      <w:pPr/>
      <w:r>
        <w:t>这些是方案设计及当前系统能力，不是已经证明的行业首创、准确率提升或多智能体优于单模型。项目需要通过人工核对案例、错误注入、去核验消融和运行记录，判断证据链是否减少事实错误和无支持解释，同时观察弃权、覆盖率与成本。只有结果支持后，才进一步陈述效果。</w:t>
      </w:r>
    </w:p>
    <w:p>
      <w:pPr>
        <w:pStyle w:val="Heading1"/>
      </w:pPr>
      <w:r>
        <w:t>十三 风险与推进计划</w:t>
      </w:r>
    </w:p>
    <w:p>
      <w:pPr>
        <w:pStyle w:val="Heading2"/>
      </w:pPr>
      <w:r>
        <w:t>主要风险及控制方式</w:t>
      </w:r>
    </w:p>
    <w:p>
      <w:pPr>
        <w:pStyle w:val="ProposalSmall"/>
        <w:keepNext/>
      </w:pPr>
      <w:r>
        <w:rPr>
          <w:rFonts w:ascii="宋体" w:hAnsi="宋体" w:eastAsia="宋体" w:cs="宋体"/>
          <w:b/>
          <w:color w:val="343A40"/>
          <w:sz w:val="18"/>
        </w:rPr>
        <w:t>表 7 风险事项与处理原则</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3005"/>
        <w:gridCol w:w="3005"/>
        <w:gridCol w:w="3005"/>
      </w:tblGrid>
      <w:tr>
        <w:trPr>
          <w:tblHeader w:val="true"/>
        </w:trPr>
        <w:tc>
          <w:tcPr>
            <w:tcW w:type="dxa" w:w="1786"/>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6"/>
              </w:rPr>
              <w:t>风险</w:t>
            </w:r>
          </w:p>
        </w:tc>
        <w:tc>
          <w:tcPr>
            <w:tcW w:type="dxa" w:w="3168"/>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6"/>
              </w:rPr>
              <w:t>对分析的影响</w:t>
            </w:r>
          </w:p>
        </w:tc>
        <w:tc>
          <w:tcPr>
            <w:tcW w:type="dxa" w:w="3888"/>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6"/>
              </w:rPr>
              <w:t>现行处理与待验证项</w:t>
            </w:r>
          </w:p>
        </w:tc>
      </w:tr>
      <w:tr>
        <w:trPr>
          <w:cantSplit/>
        </w:trPr>
        <w:tc>
          <w:tcPr>
            <w:tcW w:type="dxa" w:w="178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PDF 表格和来源质量</w:t>
            </w:r>
          </w:p>
        </w:tc>
        <w:tc>
          <w:tcPr>
            <w:tcW w:type="dxa" w:w="316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错行、错列、币种缺失或图片内容导致事实不完整</w:t>
            </w:r>
          </w:p>
        </w:tc>
        <w:tc>
          <w:tcPr>
            <w:tcW w:type="dxa" w:w="388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限定文本型 PDF；保留原文位置；无法确认时弃权，扫描件 OCR 暂不承诺</w:t>
            </w:r>
          </w:p>
        </w:tc>
      </w:tr>
      <w:tr>
        <w:trPr>
          <w:cantSplit/>
        </w:trPr>
        <w:tc>
          <w:tcPr>
            <w:tcW w:type="dxa" w:w="178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口径与追溯变化</w:t>
            </w:r>
          </w:p>
        </w:tc>
        <w:tc>
          <w:tcPr>
            <w:tcW w:type="dxa" w:w="3168"/>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把不可比年度显示为增速可能误导</w:t>
            </w:r>
          </w:p>
        </w:tc>
        <w:tc>
          <w:tcPr>
            <w:tcW w:type="dxa" w:w="3888"/>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先核对同源比较证据；证据不足时不显示增长率；全面会计变更识别待开发</w:t>
            </w:r>
          </w:p>
        </w:tc>
      </w:tr>
      <w:tr>
        <w:trPr>
          <w:cantSplit/>
        </w:trPr>
        <w:tc>
          <w:tcPr>
            <w:tcW w:type="dxa" w:w="178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模型生成解释</w:t>
            </w:r>
          </w:p>
        </w:tc>
        <w:tc>
          <w:tcPr>
            <w:tcW w:type="dxa" w:w="316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同源引用可能不支持因果关系</w:t>
            </w:r>
          </w:p>
        </w:tc>
        <w:tc>
          <w:tcPr>
            <w:tcW w:type="dxa" w:w="388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观点与事实分栏；检查具体原文；仍缺支持时标原因待查</w:t>
            </w:r>
          </w:p>
        </w:tc>
      </w:tr>
      <w:tr>
        <w:trPr>
          <w:cantSplit/>
        </w:trPr>
        <w:tc>
          <w:tcPr>
            <w:tcW w:type="dxa" w:w="178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阈值和跨公司适用</w:t>
            </w:r>
          </w:p>
        </w:tc>
        <w:tc>
          <w:tcPr>
            <w:tcW w:type="dxa" w:w="3168"/>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试行规则可能误报或不适用于别的公司</w:t>
            </w:r>
          </w:p>
        </w:tc>
        <w:tc>
          <w:tcPr>
            <w:tcW w:type="dxa" w:w="3888"/>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M3 标明试行；报告弃权和覆盖；通过独立案例评测再校准</w:t>
            </w:r>
          </w:p>
        </w:tc>
      </w:tr>
      <w:tr>
        <w:trPr>
          <w:cantSplit/>
        </w:trPr>
        <w:tc>
          <w:tcPr>
            <w:tcW w:type="dxa" w:w="178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模型费用和可用性</w:t>
            </w:r>
          </w:p>
        </w:tc>
        <w:tc>
          <w:tcPr>
            <w:tcW w:type="dxa" w:w="316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等待、请求失败或费用超出预期</w:t>
            </w:r>
          </w:p>
        </w:tc>
        <w:tc>
          <w:tcPr>
            <w:tcW w:type="dxa" w:w="388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限制调查和补检次数、记录用量；先测端点费用并由团队确认上限</w:t>
            </w:r>
          </w:p>
        </w:tc>
      </w:tr>
      <w:tr>
        <w:trPr>
          <w:cantSplit/>
        </w:trPr>
        <w:tc>
          <w:tcPr>
            <w:tcW w:type="dxa" w:w="178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数据授权和现场网络</w:t>
            </w:r>
          </w:p>
        </w:tc>
        <w:tc>
          <w:tcPr>
            <w:tcW w:type="dxa" w:w="3168"/>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公开资料未必能随作品再分发，现场可能不能访问 API</w:t>
            </w:r>
          </w:p>
        </w:tc>
        <w:tc>
          <w:tcPr>
            <w:tcW w:type="dxa" w:w="3888"/>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提交前确认使用条件和联网规则；回放明确标记，不代替实时验证</w:t>
            </w:r>
          </w:p>
        </w:tc>
      </w:tr>
      <w:tr>
        <w:trPr>
          <w:cantSplit/>
        </w:trPr>
        <w:tc>
          <w:tcPr>
            <w:tcW w:type="dxa" w:w="178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初赛时间有限</w:t>
            </w:r>
          </w:p>
        </w:tc>
        <w:tc>
          <w:tcPr>
            <w:tcW w:type="dxa" w:w="316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产品功能、实验和录制相互挤占</w:t>
            </w:r>
          </w:p>
        </w:tc>
        <w:tc>
          <w:tcPr>
            <w:tcW w:type="dxa" w:w="388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优先完成有来源、有变化、有缺口说明的真实可录流程；扩展任务列入决赛目标</w:t>
            </w:r>
          </w:p>
        </w:tc>
      </w:tr>
    </w:tbl>
    <w:p>
      <w:pPr>
        <w:spacing w:after="20" w:before="40"/>
        <w:ind w:firstLine="0"/>
      </w:pPr>
    </w:p>
    <w:p>
      <w:pPr>
        <w:pStyle w:val="Heading2"/>
      </w:pPr>
      <w:r>
        <w:t>建议排期与交付</w:t>
      </w:r>
    </w:p>
    <w:p>
      <w:pPr/>
      <w:r>
        <w:t>下列日期是根据官方赛程倒排的团队工作建议，不构成已确认的人员承诺。报名截止日为 2026 年 10 月 11 日，初赛作品上传截止日为 10 月 18 日；决赛拟于 11 月底举行，具体以后续通知为准。初赛要求提交计划书 PDF 和 MP4 介绍视频，视频不超过 5 分钟且不超过 500 MB。</w:t>
      </w:r>
    </w:p>
    <w:p>
      <w:pPr>
        <w:pStyle w:val="ProposalSmall"/>
        <w:keepNext/>
      </w:pPr>
      <w:r>
        <w:rPr>
          <w:rFonts w:ascii="宋体" w:hAnsi="宋体" w:eastAsia="宋体" w:cs="宋体"/>
          <w:b/>
          <w:color w:val="343A40"/>
          <w:sz w:val="18"/>
        </w:rPr>
        <w:t>表 8 初赛建议推进安排</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3005"/>
        <w:gridCol w:w="3005"/>
        <w:gridCol w:w="3005"/>
      </w:tblGrid>
      <w:tr>
        <w:trPr>
          <w:tblHeader w:val="true"/>
        </w:trPr>
        <w:tc>
          <w:tcPr>
            <w:tcW w:type="dxa" w:w="1800"/>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建议时间</w:t>
            </w:r>
          </w:p>
        </w:tc>
        <w:tc>
          <w:tcPr>
            <w:tcW w:type="dxa" w:w="4248"/>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工作重点</w:t>
            </w:r>
          </w:p>
        </w:tc>
        <w:tc>
          <w:tcPr>
            <w:tcW w:type="dxa" w:w="2794"/>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7"/>
              </w:rPr>
              <w:t>阶段产物</w:t>
            </w:r>
          </w:p>
        </w:tc>
      </w:tr>
      <w:tr>
        <w:trPr>
          <w:cantSplit/>
        </w:trPr>
        <w:tc>
          <w:tcPr>
            <w:tcW w:type="dxa" w:w="1800"/>
            <w:vAlign w:val="center"/>
            <w:tcMar>
              <w:top w:w="95" w:type="dxa"/>
              <w:start w:w="110" w:type="dxa"/>
              <w:bottom w:w="95" w:type="dxa"/>
              <w:end w:w="110" w:type="dxa"/>
            </w:tcMar>
          </w:tcPr>
          <w:p>
            <w:pPr>
              <w:spacing w:after="0" w:line="259" w:lineRule="auto"/>
              <w:ind w:firstLine="0"/>
              <w:jc w:val="center"/>
            </w:pPr>
            <w:r>
              <w:rPr>
                <w:rFonts w:ascii="宋体" w:hAnsi="宋体" w:eastAsia="宋体" w:cs="宋体"/>
                <w:b w:val="0"/>
                <w:color w:val="202020"/>
                <w:sz w:val="17"/>
              </w:rPr>
              <w:t>10 月 1 日至 3 日</w:t>
            </w:r>
          </w:p>
        </w:tc>
        <w:tc>
          <w:tcPr>
            <w:tcW w:type="dxa" w:w="424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确认结果表达、运行样例和资料使用条件</w:t>
            </w:r>
          </w:p>
        </w:tc>
        <w:tc>
          <w:tcPr>
            <w:tcW w:type="dxa" w:w="279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评委可读的分析页内容样板</w:t>
            </w:r>
          </w:p>
        </w:tc>
      </w:tr>
      <w:tr>
        <w:trPr>
          <w:cantSplit/>
        </w:trPr>
        <w:tc>
          <w:tcPr>
            <w:tcW w:type="dxa" w:w="1800"/>
            <w:vAlign w:val="center"/>
            <w:tcMar>
              <w:top w:w="95" w:type="dxa"/>
              <w:start w:w="110" w:type="dxa"/>
              <w:bottom w:w="95" w:type="dxa"/>
              <w:end w:w="110" w:type="dxa"/>
            </w:tcMar>
            <w:shd w:fill="F6F8FA"/>
          </w:tcPr>
          <w:p>
            <w:pPr>
              <w:spacing w:after="0" w:line="259" w:lineRule="auto"/>
              <w:ind w:firstLine="0"/>
              <w:jc w:val="center"/>
            </w:pPr>
            <w:r>
              <w:rPr>
                <w:rFonts w:ascii="宋体" w:hAnsi="宋体" w:eastAsia="宋体" w:cs="宋体"/>
                <w:b w:val="0"/>
                <w:color w:val="202020"/>
                <w:sz w:val="17"/>
              </w:rPr>
              <w:t>10 月 4 日至 8 日</w:t>
            </w:r>
          </w:p>
        </w:tc>
        <w:tc>
          <w:tcPr>
            <w:tcW w:type="dxa" w:w="4248"/>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完善产品结果页；验收真实 AI 调查及新增最终评审</w:t>
            </w:r>
          </w:p>
        </w:tc>
        <w:tc>
          <w:tcPr>
            <w:tcW w:type="dxa" w:w="2794"/>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可核查的新 run、原文证据与任务状态</w:t>
            </w:r>
          </w:p>
        </w:tc>
      </w:tr>
      <w:tr>
        <w:trPr>
          <w:cantSplit/>
        </w:trPr>
        <w:tc>
          <w:tcPr>
            <w:tcW w:type="dxa" w:w="1800"/>
            <w:vAlign w:val="center"/>
            <w:tcMar>
              <w:top w:w="95" w:type="dxa"/>
              <w:start w:w="110" w:type="dxa"/>
              <w:bottom w:w="95" w:type="dxa"/>
              <w:end w:w="110" w:type="dxa"/>
            </w:tcMar>
          </w:tcPr>
          <w:p>
            <w:pPr>
              <w:spacing w:after="0" w:line="259" w:lineRule="auto"/>
              <w:ind w:firstLine="0"/>
              <w:jc w:val="center"/>
            </w:pPr>
            <w:r>
              <w:rPr>
                <w:rFonts w:ascii="宋体" w:hAnsi="宋体" w:eastAsia="宋体" w:cs="宋体"/>
                <w:b w:val="0"/>
                <w:color w:val="202020"/>
                <w:sz w:val="17"/>
              </w:rPr>
              <w:t>10 月 9 日至 11 日</w:t>
            </w:r>
          </w:p>
        </w:tc>
        <w:tc>
          <w:tcPr>
            <w:tcW w:type="dxa" w:w="424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桌面和窄屏检查，冻结可录版本并完成报名</w:t>
            </w:r>
          </w:p>
        </w:tc>
        <w:tc>
          <w:tcPr>
            <w:tcW w:type="dxa" w:w="279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录制候选版本与报名材料</w:t>
            </w:r>
          </w:p>
        </w:tc>
      </w:tr>
      <w:tr>
        <w:trPr>
          <w:cantSplit/>
        </w:trPr>
        <w:tc>
          <w:tcPr>
            <w:tcW w:type="dxa" w:w="1800"/>
            <w:vAlign w:val="center"/>
            <w:tcMar>
              <w:top w:w="95" w:type="dxa"/>
              <w:start w:w="110" w:type="dxa"/>
              <w:bottom w:w="95" w:type="dxa"/>
              <w:end w:w="110" w:type="dxa"/>
            </w:tcMar>
            <w:shd w:fill="F6F8FA"/>
          </w:tcPr>
          <w:p>
            <w:pPr>
              <w:spacing w:after="0" w:line="259" w:lineRule="auto"/>
              <w:ind w:firstLine="0"/>
              <w:jc w:val="center"/>
            </w:pPr>
            <w:r>
              <w:rPr>
                <w:rFonts w:ascii="宋体" w:hAnsi="宋体" w:eastAsia="宋体" w:cs="宋体"/>
                <w:b w:val="0"/>
                <w:color w:val="202020"/>
                <w:sz w:val="17"/>
              </w:rPr>
              <w:t>10 月 12 日至 15 日</w:t>
            </w:r>
          </w:p>
        </w:tc>
        <w:tc>
          <w:tcPr>
            <w:tcW w:type="dxa" w:w="4248"/>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计划书排版定稿；由视频负责人完成介绍视频初剪</w:t>
            </w:r>
          </w:p>
        </w:tc>
        <w:tc>
          <w:tcPr>
            <w:tcW w:type="dxa" w:w="2794"/>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7"/>
              </w:rPr>
              <w:t>PDF 计划书、MP4 初剪与来源核对</w:t>
            </w:r>
          </w:p>
        </w:tc>
      </w:tr>
      <w:tr>
        <w:trPr>
          <w:cantSplit/>
        </w:trPr>
        <w:tc>
          <w:tcPr>
            <w:tcW w:type="dxa" w:w="1800"/>
            <w:vAlign w:val="center"/>
            <w:tcMar>
              <w:top w:w="95" w:type="dxa"/>
              <w:start w:w="110" w:type="dxa"/>
              <w:bottom w:w="95" w:type="dxa"/>
              <w:end w:w="110" w:type="dxa"/>
            </w:tcMar>
          </w:tcPr>
          <w:p>
            <w:pPr>
              <w:spacing w:after="0" w:line="259" w:lineRule="auto"/>
              <w:ind w:firstLine="0"/>
              <w:jc w:val="center"/>
            </w:pPr>
            <w:r>
              <w:rPr>
                <w:rFonts w:ascii="宋体" w:hAnsi="宋体" w:eastAsia="宋体" w:cs="宋体"/>
                <w:b w:val="0"/>
                <w:color w:val="202020"/>
                <w:sz w:val="17"/>
              </w:rPr>
              <w:t>10 月 16 日至 17 日</w:t>
            </w:r>
          </w:p>
        </w:tc>
        <w:tc>
          <w:tcPr>
            <w:tcW w:type="dxa" w:w="4248"/>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预留平台上传和文件校验时间</w:t>
            </w:r>
          </w:p>
        </w:tc>
        <w:tc>
          <w:tcPr>
            <w:tcW w:type="dxa" w:w="279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7"/>
              </w:rPr>
              <w:t>上传版本及提交回执</w:t>
            </w:r>
          </w:p>
        </w:tc>
      </w:tr>
    </w:tbl>
    <w:p>
      <w:pPr>
        <w:spacing w:after="20" w:before="40"/>
        <w:ind w:firstLine="0"/>
      </w:pPr>
    </w:p>
    <w:p>
      <w:pPr/>
      <w:r>
        <w:t>初赛录屏由团队指定的视频负责人制作；软件侧提供冻结版本、真实任务归档、证据和运行状态说明。新运行、历史回放、等待过程加速和模拟必须分别标注，模拟不表示真实模型在线调用。若 10 月 8 日前没有真实最终评审和具体原因证据，视频应降低模型和原因分析承诺，清楚呈现已完成的变化核验与尚待解释问题。</w:t>
      </w:r>
    </w:p>
    <w:p>
      <w:pPr/>
      <w:r>
        <w:t>决赛阶段拟补充季度同比与环比的一条完整案例、跨公司人工参考集、同条件消融、报告导出需求、非原开发机复现及现场演练。季度流量与资产负债表时点值按各自期间语义处理。3 至 5 家公司、季度案例、导出和现场彩排均为团队计划，不是初赛官方的额外硬性要求；若样本许可、联网环境或人工复核时间不足，应及时缩小承诺范围。</w:t>
      </w:r>
    </w:p>
    <w:p>
      <w:pPr>
        <w:pStyle w:val="Heading1"/>
      </w:pPr>
      <w:r>
        <w:t>附录一 当前验收证据索引</w:t>
      </w:r>
    </w:p>
    <w:p>
      <w:pPr/>
      <w:r>
        <w:t>以下记录用于核对本计划书中的阶段性描述。运行归档是事实依据的索引，不扩大其样本范围。完整输入哈希、计算过程、提示词和调用记录位于项目运行归档中。</w:t>
      </w:r>
    </w:p>
    <w:p>
      <w:pPr>
        <w:pStyle w:val="ProposalSmall"/>
        <w:keepNext/>
      </w:pPr>
      <w:r>
        <w:rPr>
          <w:rFonts w:ascii="宋体" w:hAnsi="宋体" w:eastAsia="宋体" w:cs="宋体"/>
          <w:b/>
          <w:color w:val="343A40"/>
          <w:sz w:val="18"/>
        </w:rPr>
        <w:t>表 9 样例与评测记录</w:t>
      </w:r>
    </w:p>
    <w:tbl>
      <w:tblPr>
        <w:tblW w:type="auto" w:w="0"/>
        <w:jc w:val="center"/>
        <w:tblLayout w:type="fixed"/>
        <w:tblLook w:firstColumn="1" w:firstRow="1" w:lastColumn="0" w:lastRow="0" w:noHBand="0" w:noVBand="1" w:val="04A0"/>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Pr>
      <w:tblGrid>
        <w:gridCol w:w="3005"/>
        <w:gridCol w:w="3005"/>
        <w:gridCol w:w="3005"/>
      </w:tblGrid>
      <w:tr>
        <w:trPr>
          <w:tblHeader w:val="true"/>
        </w:trPr>
        <w:tc>
          <w:tcPr>
            <w:tcW w:type="dxa" w:w="1872"/>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6"/>
              </w:rPr>
              <w:t>记录</w:t>
            </w:r>
          </w:p>
        </w:tc>
        <w:tc>
          <w:tcPr>
            <w:tcW w:type="dxa" w:w="4536"/>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6"/>
              </w:rPr>
              <w:t>归档标识</w:t>
            </w:r>
          </w:p>
        </w:tc>
        <w:tc>
          <w:tcPr>
            <w:tcW w:type="dxa" w:w="2434"/>
            <w:vAlign w:val="center"/>
            <w:shd w:fill="DCE6F1"/>
            <w:tcMar>
              <w:top w:w="95" w:type="dxa"/>
              <w:start w:w="110" w:type="dxa"/>
              <w:bottom w:w="95" w:type="dxa"/>
              <w:end w:w="110" w:type="dxa"/>
            </w:tcMar>
          </w:tcPr>
          <w:p>
            <w:pPr>
              <w:spacing w:after="0" w:line="252" w:lineRule="auto"/>
              <w:ind w:firstLine="0"/>
              <w:jc w:val="center"/>
            </w:pPr>
            <w:r>
              <w:rPr>
                <w:rFonts w:ascii="黑体" w:hAnsi="黑体" w:eastAsia="宋体" w:cs="黑体"/>
                <w:b/>
                <w:color w:val="000000"/>
                <w:sz w:val="16"/>
              </w:rPr>
              <w:t>可支持的陈述</w:t>
            </w:r>
          </w:p>
        </w:tc>
      </w:tr>
      <w:tr>
        <w:trPr>
          <w:cantSplit/>
        </w:trPr>
        <w:tc>
          <w:tcPr>
            <w:tcW w:type="dxa" w:w="1872"/>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M2 确定性样例</w:t>
            </w:r>
          </w:p>
        </w:tc>
        <w:tc>
          <w:tcPr>
            <w:tcW w:type="dxa" w:w="453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annual-analysis-ffcd6078-a1df-416b-88b8-6774ebe66d42</w:t>
            </w:r>
          </w:p>
        </w:tc>
        <w:tc>
          <w:tcPr>
            <w:tcW w:type="dxa" w:w="243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8 条事实、8 项计算、16 条确定性主张通过核验；2 条候选信号</w:t>
            </w:r>
          </w:p>
        </w:tc>
      </w:tr>
      <w:tr>
        <w:trPr>
          <w:cantSplit/>
        </w:trPr>
        <w:tc>
          <w:tcPr>
            <w:tcW w:type="dxa" w:w="1872"/>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M3 四规则样例</w:t>
            </w:r>
          </w:p>
        </w:tc>
        <w:tc>
          <w:tcPr>
            <w:tcW w:type="dxa" w:w="453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annual-analysis-5e7079fe-9ac9-4e96-85fa-1898f9177d21</w:t>
            </w:r>
          </w:p>
        </w:tc>
        <w:tc>
          <w:tcPr>
            <w:tcW w:type="dxa" w:w="2434"/>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18 条直接核验结果；4 条规则可计算、0 分；仅限海天样例</w:t>
            </w:r>
          </w:p>
        </w:tc>
      </w:tr>
      <w:tr>
        <w:trPr>
          <w:cantSplit/>
        </w:trPr>
        <w:tc>
          <w:tcPr>
            <w:tcW w:type="dxa" w:w="1872"/>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AI 在线调查</w:t>
            </w:r>
          </w:p>
        </w:tc>
        <w:tc>
          <w:tcPr>
            <w:tcW w:type="dxa" w:w="4536"/>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annual-analysis-a32c16a7-00da-48c5-a97d-59ee284904df</w:t>
            </w:r>
          </w:p>
        </w:tc>
        <w:tc>
          <w:tcPr>
            <w:tcW w:type="dxa" w:w="2434"/>
            <w:vAlign w:val="center"/>
            <w:tcMar>
              <w:top w:w="95" w:type="dxa"/>
              <w:start w:w="110" w:type="dxa"/>
              <w:bottom w:w="95" w:type="dxa"/>
              <w:end w:w="110" w:type="dxa"/>
            </w:tcMar>
          </w:tcPr>
          <w:p>
            <w:pPr>
              <w:spacing w:after="0" w:line="259" w:lineRule="auto"/>
              <w:ind w:firstLine="0"/>
              <w:jc w:val="left"/>
            </w:pPr>
            <w:r>
              <w:rPr>
                <w:rFonts w:ascii="宋体" w:hAnsi="宋体" w:eastAsia="宋体" w:cs="宋体"/>
                <w:b w:val="0"/>
                <w:color w:val="202020"/>
                <w:sz w:val="16"/>
              </w:rPr>
              <w:t>两个候选的未核实解释；不含最终评审</w:t>
            </w:r>
          </w:p>
        </w:tc>
      </w:tr>
      <w:tr>
        <w:trPr>
          <w:cantSplit/>
        </w:trPr>
        <w:tc>
          <w:tcPr>
            <w:tcW w:type="dxa" w:w="1872"/>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M4 单公司消融</w:t>
            </w:r>
          </w:p>
        </w:tc>
        <w:tc>
          <w:tcPr>
            <w:tcW w:type="dxa" w:w="4536"/>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verification-ablation-m4-20260928T072029Z-825a8c4b</w:t>
            </w:r>
          </w:p>
        </w:tc>
        <w:tc>
          <w:tcPr>
            <w:tcW w:type="dxa" w:w="2434"/>
            <w:vAlign w:val="center"/>
            <w:tcMar>
              <w:top w:w="95" w:type="dxa"/>
              <w:start w:w="110" w:type="dxa"/>
              <w:bottom w:w="95" w:type="dxa"/>
              <w:end w:w="110" w:type="dxa"/>
            </w:tcMar>
            <w:shd w:fill="F6F8FA"/>
          </w:tcPr>
          <w:p>
            <w:pPr>
              <w:spacing w:after="0" w:line="259" w:lineRule="auto"/>
              <w:ind w:firstLine="0"/>
              <w:jc w:val="left"/>
            </w:pPr>
            <w:r>
              <w:rPr>
                <w:rFonts w:ascii="宋体" w:hAnsi="宋体" w:eastAsia="宋体" w:cs="宋体"/>
                <w:b w:val="0"/>
                <w:color w:val="202020"/>
                <w:sz w:val="16"/>
              </w:rPr>
              <w:t>单公司 7 个已知案例的受控核验机制基线</w:t>
            </w:r>
          </w:p>
        </w:tc>
      </w:tr>
    </w:tbl>
    <w:p>
      <w:pPr>
        <w:spacing w:after="20" w:before="40"/>
        <w:ind w:firstLine="0"/>
      </w:pPr>
    </w:p>
    <w:p>
      <w:pPr>
        <w:pStyle w:val="Heading1"/>
      </w:pPr>
      <w:r>
        <w:t>附录二 资料依据与参赛要求</w:t>
      </w:r>
    </w:p>
    <w:p>
      <w:pPr/>
      <w:r>
        <w:t>竞赛任务、方向二、初赛文件格式、视频时长与大小、报名及作品截止日期、拟定决赛时间，依据北京市教育委员会发布的竞赛通知和中央财经大学竞赛通知页面核对，检索日期为 2026 年 10 月 1 日。最终执行以组委会后续通知和报名平台为准。</w:t>
      </w:r>
    </w:p>
    <w:p>
      <w:pPr>
        <w:pStyle w:val="ProposalSmall"/>
        <w:ind w:firstLine="0"/>
      </w:pPr>
      <w:r>
        <w:t xml:space="preserve">北京市教育委员会  </w:t>
      </w:r>
      <w:r>
        <w:t>https://jw.beijing.gov.cn/gjc/tzgg_15688/202608/t20260827_4839055.html</w:t>
      </w:r>
    </w:p>
    <w:p>
      <w:pPr>
        <w:pStyle w:val="ProposalSmall"/>
        <w:ind w:firstLine="0"/>
      </w:pPr>
      <w:r>
        <w:t xml:space="preserve">中央财经大学  </w:t>
      </w:r>
      <w:r>
        <w:t>https://www.cufe.edu.cn/info/1186/27759.htm</w:t>
      </w:r>
    </w:p>
    <w:p>
      <w:pPr/>
      <w:r>
        <w:t>项目能力、数据条件和技术边界以仓库中的 README、架构说明、数据政策和工程路线为依据；第三方依赖、版本、来源与许可按 README 登记及前后端锁定文件核对。比赛正式提交的代码、依赖、提示词、模型调用方式、运行说明和展示版本应保持一致。</w:t>
      </w:r>
    </w:p>
    <w:p>
      <w:pPr/>
      <w:r>
        <w:t>海天味业 2024 年年报由巨潮资讯网公开披露，项目记录的本地文件 SHA256 为 5a97b13534438f5e85249752ef492fbd9e23af73e67845e47bad1ab7d92e20ee。该 PDF 当前用途记录为本地开发，未确认再分发许可。</w:t>
      </w:r>
    </w:p>
    <w:sectPr w:rsidR="00FC693F" w:rsidRPr="0006063C" w:rsidSect="00034616">
      <w:footerReference w:type="default" r:id="rId9"/>
      <w:pgSz w:w="11906" w:h="16838"/>
      <w:pgMar w:top="1332" w:right="1446" w:bottom="1276" w:left="1446" w:header="595" w:footer="595" w:gutter="0"/>
      <w:cols w:space="720"/>
      <w:docGrid w:linePitch="360"/>
    </w:sectPr>
  </w:body>
</w:document>
</file>

<file path=word/comments.xml><?xml version="1.0" encoding="utf-8"?>
<w:comments xmlns:w="http://schemas.openxmlformats.org/wordprocessingml/2006/main">
  <w:comment w:id="0" w:author="FINTRACE 团队" w:date="2026-10-01T08:48:03Z">
    <w:p>
      <w:r>
        <w:t>本段结论仅适用于海天味业 2024 年报当前样例；2023 年数据来自该年报的比较列，未独立核对此前披露的 2023 年年报。</w:t>
      </w:r>
    </w:p>
  </w:comment>
  <w:comment w:id="1" w:author="FINTRACE 团队" w:date="2026-10-01T08:48:03Z">
    <w:p>
      <w:r>
        <w:t>指标变化只构成进一步核查线索；其业务原因尚未由当前证据确认。</w:t>
      </w:r>
    </w:p>
  </w:comment>
  <w:comment w:id="2" w:author="FINTRACE 团队" w:date="2026-10-01T08:48:03Z">
    <w:p>
      <w:r>
        <w:t>这是单公司、七个已知案例的核验机制消融基线，不能作为财务舞弊识别准确率。未注入错误样例的原文参考金额尚待人工复核。</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宋体" w:hAnsi="宋体" w:eastAsia="宋体" w:cs="宋体"/>
        <w:b w:val="0"/>
        <w:color w:val="6B7280"/>
        <w:sz w:val="17"/>
      </w:rPr>
      <w:t xml:space="preserve">FINTRACE  ·  项目计划书  ·  </w:t>
    </w:r>
    <w:fldSimple w:instr="PAGE">
      <w:r>
        <w:rPr>
          <w:rFonts w:ascii="Arial" w:hAnsi="Arial"/>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ind w:firstLine="420"/>
      <w:jc w:val="both"/>
    </w:pPr>
    <w:rPr>
      <w:rFonts w:ascii="宋体" w:hAnsi="宋体" w:eastAsia="宋体" w:cs="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10" w:line="271" w:lineRule="auto"/>
      <w:ind w:firstLine="0"/>
      <w:outlineLvl w:val="0"/>
    </w:pPr>
    <w:rPr>
      <w:rFonts w:asciiTheme="majorHAnsi" w:eastAsiaTheme="majorEastAsia" w:hAnsiTheme="majorHAnsi" w:cstheme="majorBidi" w:ascii="黑体" w:hAnsi="黑体" w:eastAsia="黑体" w:cs="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line="271" w:lineRule="auto"/>
      <w:ind w:firstLine="0"/>
      <w:outlineLvl w:val="1"/>
    </w:pPr>
    <w:rPr>
      <w:rFonts w:asciiTheme="majorHAnsi" w:eastAsiaTheme="majorEastAsia" w:hAnsiTheme="majorHAnsi" w:cstheme="majorBidi" w:ascii="黑体" w:hAnsi="黑体" w:eastAsia="黑体" w:cs="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00" w:after="40" w:line="271" w:lineRule="auto"/>
      <w:ind w:firstLine="0"/>
      <w:outlineLvl w:val="2"/>
    </w:pPr>
    <w:rPr>
      <w:rFonts w:asciiTheme="majorHAnsi" w:eastAsiaTheme="majorEastAsia" w:hAnsiTheme="majorHAnsi" w:cstheme="majorBidi" w:ascii="黑体" w:hAnsi="黑体" w:eastAsia="黑体" w:cs="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71" w:lineRule="auto" w:before="40"/>
      <w:ind w:firstLine="0"/>
      <w:contextualSpacing/>
    </w:pPr>
    <w:rPr>
      <w:rFonts w:asciiTheme="majorHAnsi" w:eastAsiaTheme="majorEastAsia" w:hAnsiTheme="majorHAnsi" w:cstheme="majorBidi" w:ascii="黑体" w:hAnsi="黑体" w:eastAsia="黑体" w:cs="黑体"/>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line="271" w:lineRule="auto"/>
      <w:ind w:firstLine="0"/>
    </w:pPr>
    <w:rPr>
      <w:rFonts w:asciiTheme="majorHAnsi" w:eastAsiaTheme="majorEastAsia" w:hAnsiTheme="majorHAnsi" w:cstheme="majorBidi" w:ascii="黑体" w:hAnsi="黑体" w:eastAsia="黑体" w:cs="黑体"/>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List">
    <w:name w:val="Proposal List"/>
    <w:pPr>
      <w:keepLines/>
      <w:spacing w:after="60" w:line="281" w:lineRule="auto"/>
      <w:ind w:left="369" w:hanging="272"/>
    </w:pPr>
    <w:rPr>
      <w:rFonts w:ascii="宋体" w:hAnsi="宋体" w:eastAsia="宋体" w:cs="宋体"/>
      <w:b w:val="0"/>
      <w:color w:val="202020"/>
      <w:sz w:val="21"/>
    </w:rPr>
  </w:style>
  <w:style w:type="paragraph" w:customStyle="1" w:styleId="ProposalSmall">
    <w:name w:val="Proposal Small"/>
    <w:pPr>
      <w:spacing w:line="269" w:lineRule="auto" w:after="60"/>
      <w:ind w:firstLine="0"/>
    </w:pPr>
    <w:rPr>
      <w:rFonts w:ascii="宋体" w:hAnsi="宋体" w:eastAsia="宋体" w:cs="宋体"/>
      <w:b w:val="0"/>
      <w:color w:val="3C46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多智能体协同财务异常识别与舞弊风险线索核验项目计划书</dc:title>
  <dc:subject>2026年北京市大学生金融人工智能竞赛选题二</dc:subject>
  <dc:creator>FINTRACE</dc:creator>
  <cp:keywords>FINTRACE,上市公司财务报告分析,证据核验</cp:keywords>
  <dc:description>generated by python-docx</dc:description>
  <cp:lastModifiedBy/>
  <cp:revision>1</cp:revision>
  <dcterms:created xsi:type="dcterms:W3CDTF">2013-12-23T23:15:00Z</dcterms:created>
  <dcterms:modified xsi:type="dcterms:W3CDTF">2013-12-23T23:15:00Z</dcterms:modified>
  <cp:category/>
</cp:coreProperties>
</file>