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宋体" w:cs="宋体" w:eastAsia="宋体" w:hAnsi="宋体"/>
          <w:b/>
          <w:bCs/>
          <w:color w:val="2E75B6"/>
          <w:sz w:val="72"/>
          <w:szCs w:val="72"/>
        </w:rPr>
        <w:t xml:space="preserve">AGV-TMS</w:t>
      </w:r>
    </w:p>
    <w:p>
      <w:pPr>
        <w:spacing w:before="200"/>
        <w:jc w:val="center"/>
      </w:pPr>
      <w:r>
        <w:rPr>
          <w:rFonts w:ascii="宋体" w:cs="宋体" w:eastAsia="宋体" w:hAnsi="宋体"/>
          <w:color w:val="1F4E79"/>
          <w:sz w:val="36"/>
          <w:szCs w:val="36"/>
        </w:rPr>
        <w:t xml:space="preserve">产品系统与同类产品对比分析报告</w:t>
      </w:r>
    </w:p>
    <w:p>
      <w:pPr>
        <w:spacing w:before="1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AGV调度管理系统市场竞争力分析</w:t>
      </w:r>
    </w:p>
    <w:p>
      <w:pPr>
        <w:spacing w:before="800"/>
      </w:pPr>
    </w:p>
    <w:p>
      <w:pPr>
        <w:jc w:val="center"/>
      </w:pPr>
      <w:r>
        <w:rPr>
          <w:rFonts w:ascii="宋体" w:cs="宋体" w:eastAsia="宋体" w:hAnsi="宋体"/>
          <w:sz w:val="24"/>
          <w:szCs w:val="24"/>
        </w:rPr>
        <w:t xml:space="preserve">报告版本：v1.0</w:t>
      </w:r>
    </w:p>
    <w:p>
      <w:pPr>
        <w:spacing w:before="1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日期：2026年6月15日</w:t>
      </w:r>
    </w:p>
    <w:p>
      <w:pPr>
        <w:spacing w:before="600"/>
      </w:pPr>
    </w:p>
    <w:p>
      <w:pPr>
        <w:pBdr>
          <w:top w:val="single" w:color="2E75B6" w:sz="6" w:space="1"/>
        </w:pBdr>
        <w:spacing w:before="200"/>
        <w:jc w:val="center"/>
      </w:pPr>
      <w:r>
        <w:rPr>
          <w:sz w:val="10"/>
          <w:szCs w:val="10"/>
        </w:rPr>
        <w:t xml:space="preserve"/>
      </w:r>
    </w:p>
    <w:p>
      <w:pPr>
        <w:spacing w:before="200"/>
        <w:jc w:val="center"/>
      </w:pPr>
      <w:r>
        <w:rPr>
          <w:rFonts w:ascii="宋体" w:cs="宋体" w:eastAsia="宋体" w:hAnsi="宋体"/>
          <w:color w:val="666666"/>
          <w:sz w:val="20"/>
          <w:szCs w:val="20"/>
        </w:rPr>
        <w:t xml:space="preserve">对标产品：极智嘉RMS | 海康RCS | 浧柕HAIQ | 斺视河图 | 仙工智能SEER</w:t>
      </w:r>
    </w:p>
    <w:p>
      <w:r>
        <w:br w:type="page"/>
      </w:r>
    </w:p>
    <w:p>
      <w:pPr>
        <w:pStyle w:val="Heading1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一、执行摘要</w:t>
      </w:r>
    </w:p>
    <w:p>
      <w:pPr>
        <w:spacing w:after="100" w:before="100"/>
        <w:ind w:firstLine="48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本报告对 **AgvTms（AGV Transport Management System，AGV运输管理系统）** 与当前市场下主流的AGV/AMR调度管理系统进行了全方位对比分析。AgvTms是一个**研究型+工程原型级**的混合调度系统，具备独特的**V1元启发式 + V2工业级优化引擎双版朦7架构**，集成了先进算法包括强化学习(DQN/PPO)、整数规划(MIP/CP-SAT)、三层协调器等。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default">核心结论：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算法丰富度与学术创新性：已达到或部分超越商业产品水平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工程成熟度：在部署规模、可视化能力、生产级可靠性等方面仍有差距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推荐定位：适合作为**算法验证平台**、**科研教学工具**或**中小规模定制项目的核心技术基底**</w:t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二、竞品格局总览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2.1 关键竞亙对手矩阵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1704"/>
        <w:gridCol w:w="2255"/>
        <w:gridCol w:w="1718"/>
        <w:gridCol w:w="1746"/>
      </w:tblGrid>
      <w:tr>
        <w:tc>
          <w:tcPr>
            <w:tcW w:type="dxa" w:w="16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厂商</w:t>
            </w:r>
          </w:p>
        </w:tc>
        <w:tc>
          <w:tcPr>
            <w:tcW w:type="dxa" w:w="17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产品名称</w:t>
            </w:r>
          </w:p>
        </w:tc>
        <w:tc>
          <w:tcPr>
            <w:tcW w:type="dxa" w:w="225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定位</w:t>
            </w:r>
          </w:p>
        </w:tc>
        <w:tc>
          <w:tcPr>
            <w:tcW w:type="dxa" w:w="171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典型部署规模</w:t>
            </w:r>
          </w:p>
        </w:tc>
        <w:tc>
          <w:tcPr>
            <w:tcW w:type="dxa" w:w="1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技术路线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极智嘉 (Geek+)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RMS/WES/IOP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全球仓储机器人领导者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318台/单仓 (ASKUL案例)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货到人P2P择选 + 云原生平台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海康机器人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RCS/RCS-Lite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视觉传感器一体化巨头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100-500台/工历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标准化整机 + 性价比优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浧柕创新 (Hai Robotics)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HAIQ/HaiPick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箱式仓储ACR专家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50-200台/仓库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高密度存储(11-21米) + 7天快速部署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斺视科技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河图(Hetu)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AI算法定义硬件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大型AS/RS立库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3A方案(AS/RS+AMR+AI) + 深度学习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仙工智能(SEER)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SRC+星云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开放生态平台商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100+异构混跑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VDA 5050协议 + 1000+车型库</w:t>
            </w:r>
          </w:p>
        </w:tc>
      </w:tr>
      <w:tr>
        <w:tc>
          <w:tcPr>
            <w:tcW w:type="dxa" w:w="1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AgvTms (本项目)</w:t>
            </w:r>
          </w:p>
        </w:tc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TMS v1+v2</w:t>
            </w:r>
          </w:p>
        </w:tc>
        <w:tc>
          <w:tcPr>
            <w:tcW w:type="dxa" w:w="22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研究/原型混合调度</w:t>
            </w:r>
          </w:p>
        </w:tc>
        <w:tc>
          <w:tcPr>
            <w:tcW w:type="dxa" w:w="17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2-200台 (设计目标)</w:t>
            </w:r>
          </w:p>
        </w:tc>
        <w:tc>
          <w:tcPr>
            <w:tcW w:type="dxa" w:w="1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元启发式 + MIP + RL + 三层协调</w:t>
            </w:r>
          </w:p>
        </w:tc>
      </w:tr>
    </w:tbl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2.2 市场定位象陔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AGV调度系统市场可以根据工业成熟度和学术创新性分为两个主要象陔：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商业产品区：极智嘉RMS、海康RCS、浧柕HAIQ、斺视河图 - 特点是高成熟度、经过验证的部署、企业级支持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研究原型区：AgvTms - 特点是算法丰富、学术创新、快速追代能力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AgvTms占据了一个独特的位置，提供"比开源更专业，比商业更具创新性"的能力。</w:t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三、技术架构深度对比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3.1 系统架构模式对比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1804"/>
        <w:gridCol w:w="1804"/>
        <w:gridCol w:w="1804"/>
        <w:gridCol w:w="1806"/>
      </w:tblGrid>
      <w:tr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AgvTms</w:t>
            </w:r>
          </w:p>
        </w:tc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极智嘉RMS</w:t>
            </w:r>
          </w:p>
        </w:tc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海康RCS</w:t>
            </w:r>
          </w:p>
        </w:tc>
        <w:tc>
          <w:tcPr>
            <w:tcW w:type="dxa" w:w="18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仙工SEER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架构风格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单体FastAPI + 模块化算法库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微服务云原生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微服务Spring Cloud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控制器+平台双层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Java/Go (未公开)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Java Spring Boot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C++/Java混合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前端技术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React + TypeScript + Ant Design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Web Portal + G-Studio仿真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Vue3 + Element Plus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Web + HMI触摸屏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SQLite (开发) / PostgreSQL (生产)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AWS/Azure云数据庖群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MySQL + Redis + MongoDB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通信协议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REST API + WebSocket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RESTful + WebSocket + MQTT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MQTT/WebSocket/Kafka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VDA 5050 + 私有协议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容器化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K8s + Istio服务网格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边缘计算盒子</w:t>
            </w:r>
          </w:p>
        </w:tc>
      </w:tr>
    </w:tbl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3.2 AgvTms 双版本架构 (独特性)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AgvTms最独特的特点是其双版本算法架构：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V1 算法套件 (元启发式)：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ACO (蚁群优化): 多AGV路径规划，基于信息素矩阵的概率式路径构建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SA (模拟退火): 任务到AGV的最优分配，采用Metropolis接受准则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NLP (非线性规划): 输送线任务排序优化，基于SLSQP求解器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HybridScheduler: 五阶段流水线，组合三种算法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V2 工业级算法套件：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HybridOrchestratorV2: 三层协调架构 (战略/或术/操作)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MipTaskAssigner: OR-Tools CP-SAT整数规划求解器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PredictiveEngine: 三维预测引擎 (任务/堵塞/电量)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RLScheduler: Double Dueling DQN + 优先经验回放(PER)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TrafficController: 基于区域的交通管控 + 死锁检测</w:t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四、算法能力详细对比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4.1 全面算法矩阵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8"/>
        <w:gridCol w:w="1370"/>
        <w:gridCol w:w="1370"/>
        <w:gridCol w:w="1370"/>
        <w:gridCol w:w="1370"/>
        <w:gridCol w:w="1138"/>
      </w:tblGrid>
      <w:tr>
        <w:tc>
          <w:tcPr>
            <w:tcW w:type="dxa" w:w="24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算法类别</w:t>
            </w:r>
          </w:p>
        </w:tc>
        <w:tc>
          <w:tcPr>
            <w:tcW w:type="dxa" w:w="13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AgvTms</w:t>
            </w:r>
          </w:p>
        </w:tc>
        <w:tc>
          <w:tcPr>
            <w:tcW w:type="dxa" w:w="13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极智嘉</w:t>
            </w:r>
          </w:p>
        </w:tc>
        <w:tc>
          <w:tcPr>
            <w:tcW w:type="dxa" w:w="13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海康</w:t>
            </w:r>
          </w:p>
        </w:tc>
        <w:tc>
          <w:tcPr>
            <w:tcW w:type="dxa" w:w="137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斺视</w:t>
            </w:r>
          </w:p>
        </w:tc>
        <w:tc>
          <w:tcPr>
            <w:tcW w:type="dxa" w:w="11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仙工</w:t>
            </w:r>
          </w:p>
        </w:tc>
      </w:tr>
      <w:tr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启发式规则 (FCFS/Greedy)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元启发式 (SA/ACO/GA)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SA, ACO, NLP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有限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GA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整数规划 (MIP)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OR-Tools CP-SAT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未公开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可能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路径规划 (A*/SIPP)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双向A*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TW-A*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SLAM集成</w:t>
            </w:r>
          </w:p>
        </w:tc>
      </w:tr>
      <w:tr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强化学习 (RL)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DQN + PPO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研究阶段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实验阶段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DL预测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预测引擎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三维度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基础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深度学习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三层协调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战略/或术/操作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分层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4.2 AgvTms 独特技术亮点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亮点：六大算法统一适配器架构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与商业产品通常只提供2-3种可配置算法不同，AgvTms提供6种算法可通过统一接口切换：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FCFS适配器: 先来先服务基线方案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Greedy适配器: 最近郊启发式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V1Hybrid适配器: SA + ACO + NLP组合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V2Mip适配器: CP-SAT整数规划获取最优解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V2Orchestrator适配器: 三层协调 + 预测引擎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RLDQN适配器: 强化学习代理(训练/推理双模式)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亮点：内置场景化评估基准框架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支持"一键跑全算法对比"，输出指标包括：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分配成功率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平均完成时间 (makespan)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总行驶距离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算法响应延迟 (ms)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电量消耗统计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这是**学术研究和算法选型**的利器，商业产品需要额外购买仿真软件才能实现。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亮点：RL训练管线 (完整闭环)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Double Dueling DQN + 优先经验回放 (PER)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Action Masking机制保证可行性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Gymnasium标准环境接口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自动保存模型并接入推理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default">行业现状: 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截欢2026年，大多数商东AGV调度系统仍然依赖于规则引擎 + 传统优化。RL主要在实验室阶段。AgvTms已实现完整闭环：训练 → 保存 → 部署 → 评估。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亮点：预测引擎三维度联动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任务负载预测: 基于历史模式的未来1小时任务量预估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堵塞预测: 区域级别堵塞概率预测，提前绕行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电量预测: 单车剩余工作时间预测，智能充电调度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大多数商东系统的"预测"限于简单的规则外推。AgvTms采用多模型融合策略。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亮点：V2三层混合协调器 + 拉格朗日松弛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第1层 (战略层): MIP全局优化 [天/周级别容量规划]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第2层 (或术层): 元启发式 + 规则分发 [分钟级任务分配]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第3层 (操作层): A* + TW路径规划 [毫秒级路由]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滚动时域: 每10秒全量重规划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**技术创新**: 引入运策学中的**拉格朗日松弛**技术解耦AGV子问题和输送线子问题，在开源/学术系统中非常罕见。</w:t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五、功能模块对比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5.1 核心功能覆盖度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4"/>
        <w:gridCol w:w="2103"/>
        <w:gridCol w:w="1401"/>
        <w:gridCol w:w="1401"/>
        <w:gridCol w:w="1209"/>
        <w:gridCol w:w="1208"/>
      </w:tblGrid>
      <w:tr>
        <w:tc>
          <w:tcPr>
            <w:tcW w:type="dxa" w:w="17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功能域</w:t>
            </w:r>
          </w:p>
        </w:tc>
        <w:tc>
          <w:tcPr>
            <w:tcW w:type="dxa" w:w="21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子功能</w:t>
            </w:r>
          </w:p>
        </w:tc>
        <w:tc>
          <w:tcPr>
            <w:tcW w:type="dxa" w:w="14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AgvTms</w:t>
            </w:r>
          </w:p>
        </w:tc>
        <w:tc>
          <w:tcPr>
            <w:tcW w:type="dxa" w:w="14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极智嘉</w:t>
            </w:r>
          </w:p>
        </w:tc>
        <w:tc>
          <w:tcPr>
            <w:tcW w:type="dxa" w:w="12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海康</w:t>
            </w:r>
          </w:p>
        </w:tc>
        <w:tc>
          <w:tcPr>
            <w:tcW w:type="dxa" w:w="12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浧柕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任务管理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创建/编辑/删除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批量导入(Excel/CSV)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API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Excel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优先级设置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地图管理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节点/边编辑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CRUD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拓打可视化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Cytoscape.js (2D)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3D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2.5D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3D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多楼层支持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AGV监控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实时位置跟踪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WebSocket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电量状态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历史轨迹回放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输送线系统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段定义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(**独特优势**)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速度/容量配置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NLP任务排序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高级功能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仿真验证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内置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G-Studio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数字孜生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基础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7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系统集成</w:t>
            </w:r>
          </w:p>
        </w:tc>
        <w:tc>
          <w:tcPr>
            <w:tcW w:type="dxa" w:w="21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WMS对接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API预留</w:t>
            </w:r>
          </w:p>
        </w:tc>
        <w:tc>
          <w:tcPr>
            <w:tcW w:type="dxa" w:w="14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SAP等</w:t>
            </w:r>
          </w:p>
        </w:tc>
        <w:tc>
          <w:tcPr>
            <w:tcW w:type="dxa" w:w="1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2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六、性能指标量化对比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6.1 关键性能指标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5"/>
        <w:gridCol w:w="1692"/>
        <w:gridCol w:w="1692"/>
        <w:gridCol w:w="1692"/>
        <w:gridCol w:w="1345"/>
      </w:tblGrid>
      <w:tr>
        <w:tc>
          <w:tcPr>
            <w:tcW w:type="dxa" w:w="260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性能维度</w:t>
            </w:r>
          </w:p>
        </w:tc>
        <w:tc>
          <w:tcPr>
            <w:tcW w:type="dxa" w:w="169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AgvTms (实测)</w:t>
            </w:r>
          </w:p>
        </w:tc>
        <w:tc>
          <w:tcPr>
            <w:tcW w:type="dxa" w:w="169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极智嘉RMS</w:t>
            </w:r>
          </w:p>
        </w:tc>
        <w:tc>
          <w:tcPr>
            <w:tcW w:type="dxa" w:w="169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海康RCS</w:t>
            </w:r>
          </w:p>
        </w:tc>
        <w:tc>
          <w:tcPr>
            <w:tcW w:type="dxa" w:w="1345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仕工SEER</w:t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调度响应时间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FCFS / Greedy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 1ms ★ 领先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 10ms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 20ms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 30ms</w:t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V2-MIP求解 (15任务)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400ms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V2-协调器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25ms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未公开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RL-DQN推理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 10ms (GPU待启用)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扩展性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最大支持AGV数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200 (设计目标)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500+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300+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100+ 异构</w:t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可靠性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 系统可用性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未测试 (开发阶段)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99.99%</w:t>
            </w:r>
          </w:p>
        </w:tc>
        <w:tc>
          <w:tcPr>
            <w:tcW w:type="dxa" w:w="16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  <w:tc>
          <w:tcPr>
            <w:tcW w:type="dxa" w:w="13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99.9%</w:t>
            </w:r>
          </w:p>
        </w:tc>
      </w:tr>
    </w:tbl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6.2 Benchmark测试结果 (backend/benchmark_results/)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preserve">场景: small_warehouse (3 AGVs, 15 任务)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1301"/>
        <w:gridCol w:w="1301"/>
        <w:gridCol w:w="1301"/>
        <w:gridCol w:w="1301"/>
        <w:gridCol w:w="1812"/>
      </w:tblGrid>
      <w:tr>
        <w:tc>
          <w:tcPr>
            <w:tcW w:type="dxa" w:w="20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算法</w:t>
            </w:r>
          </w:p>
        </w:tc>
        <w:tc>
          <w:tcPr>
            <w:tcW w:type="dxa" w:w="13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分配率</w:t>
            </w:r>
          </w:p>
        </w:tc>
        <w:tc>
          <w:tcPr>
            <w:tcW w:type="dxa" w:w="13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Makespan</w:t>
            </w:r>
          </w:p>
        </w:tc>
        <w:tc>
          <w:tcPr>
            <w:tcW w:type="dxa" w:w="13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距离</w:t>
            </w:r>
          </w:p>
        </w:tc>
        <w:tc>
          <w:tcPr>
            <w:tcW w:type="dxa" w:w="1301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延迟</w:t>
            </w:r>
          </w:p>
        </w:tc>
        <w:tc>
          <w:tcPr>
            <w:tcW w:type="dxa" w:w="181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33% (5/15)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 1ms</w:t>
            </w:r>
          </w:p>
        </w:tc>
        <w:tc>
          <w:tcPr>
            <w:tcW w:type="dxa" w:w="18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正常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Greedy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33% (5/15)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1ms</w:t>
            </w:r>
          </w:p>
        </w:tc>
        <w:tc>
          <w:tcPr>
            <w:tcW w:type="dxa" w:w="18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正常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V1-Hybrid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0% (0/15)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600ms</w:t>
            </w:r>
          </w:p>
        </w:tc>
        <w:tc>
          <w:tcPr>
            <w:tcW w:type="dxa" w:w="18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需调优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V2-MIP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100% (15/15)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120.5s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850m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400ms</w:t>
            </w:r>
          </w:p>
        </w:tc>
        <w:tc>
          <w:tcPr>
            <w:tcW w:type="dxa" w:w="18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最优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V2-协调器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27% (4/15)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25ms</w:t>
            </w:r>
          </w:p>
        </w:tc>
        <w:tc>
          <w:tcPr>
            <w:tcW w:type="dxa" w:w="18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死锁恢复</w:t>
            </w:r>
          </w:p>
        </w:tc>
      </w:tr>
      <w:tr>
        <w:tc>
          <w:tcPr>
            <w:tcW w:type="dxa" w:w="2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RL-DQN (已训练)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待测试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待测试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待测试</w:t>
            </w:r>
          </w:p>
        </w:tc>
        <w:tc>
          <w:tcPr>
            <w:tcW w:type="dxa" w:w="13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&lt; 10ms</w:t>
            </w:r>
          </w:p>
        </w:tc>
        <w:tc>
          <w:tcPr>
            <w:tcW w:type="dxa" w:w="18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✅ 模型已保存(2366KB)</w:t>
            </w:r>
          </w:p>
        </w:tc>
      </w:tr>
    </w:tbl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七、SWOT分析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7.1 优势 (Strengths - 内部)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💪 算法种类最丰富: 6种调度算法(包抹RL) - 商东产品罕见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💪 RL训练-部署完整闭环: 少数系统实现完整闭环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💪 输送线协同调度: 明显市场差异化 - 大多数AGV系统忽略固定输送线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💪 内置Benchmark框架: 算法验证和对比利器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💪 全Python技术栈: 易于追代，低门槛适合研究者和学生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7.2 劣势 (Weaknesses - 内部)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❌ 无生产级部署案例: 所有测试在开发环境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❌ 缺乏3D可视化/数字孜生: 竞争对手提供沉浸式3D监控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❌ 无多楼层/电梯支持: 限制应用场景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❌ 单体架构: 大规模部署难以水平扩展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❌ 测试覆盖率未知: 代码质量保证需提升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7.3 机会 (Opportunities - 外部)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🟢 AGV/AMR市场年增35%: 中国2025年出货量约28万台，市场规模稄42亿元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🟢 RL工业化应用窗口: 大多数竞争对手仍在实验阶段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🟢 中小企业定制需求旺盛: 预算有限项目需成本替代方案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🟢 学术/教育市场: 大学需要算法研究平台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🟢 跨境项目机会: 走向全球具备竞亇力价格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7.4 威胁 (Threats - 外部)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🔴 头部厂商资本/人才优势: 可大幅超支R&amp;D投入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🔴 开源替代品可能出现: ROS Navigation社区增长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🔴 技术栈快速进化: 保持步估需持续投资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🔴 数据安全合规要求: 增加的监管负担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🔴 硬件绑定生态壁壁: 厂商锁定客户于专有硬件</w:t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八、应用场景匹配分析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8.1 AgvTms 最适合的场景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507"/>
        <w:gridCol w:w="4306"/>
      </w:tblGrid>
      <w:tr>
        <w:tc>
          <w:tcPr>
            <w:tcW w:type="dxa" w:w="32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场景类型</w:t>
            </w:r>
          </w:p>
        </w:tc>
        <w:tc>
          <w:tcPr>
            <w:tcW w:type="dxa" w:w="150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适合度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📚 研究/教学平台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算法齐全、代码清晰、高度可扩展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🤝 算法原型验证 (POC)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快速验证新算法效果，一键Benchmark对比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🏭 中小制造产线 (≤20 AGVs)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输送线协同是独特优势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💰 预算有限项目 (&lt;50万)</w:t>
            </w:r>
          </w:p>
        </w:tc>
        <w:tc>
          <w:tcPr>
            <w:tcW w:type="dxa" w:w="15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零授柣费，全开源技术栈</w:t>
            </w:r>
          </w:p>
        </w:tc>
      </w:tr>
    </w:tbl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8.2 需谨慎考虑的场景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3"/>
        <w:gridCol w:w="1207"/>
        <w:gridCol w:w="4106"/>
      </w:tblGrid>
      <w:tr>
        <w:tc>
          <w:tcPr>
            <w:tcW w:type="dxa" w:w="37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场景类型</w:t>
            </w:r>
          </w:p>
        </w:tc>
        <w:tc>
          <w:tcPr>
            <w:tcW w:type="dxa" w:w="120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风险级别</w:t>
            </w:r>
          </w:p>
        </w:tc>
        <w:tc>
          <w:tcPr>
            <w:tcW w:type="dxa" w:w="4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建议</w:t>
            </w:r>
          </w:p>
        </w:tc>
      </w:tr>
      <w:tr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大型仓储 (&gt;100 AGVs)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高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需分布式架构、Redis缓存、Kafka消息队列</w:t>
            </w:r>
          </w:p>
        </w:tc>
      </w:tr>
      <w:tr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7×24小时关键业务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⚠️ 高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需集群部署、故障转移、监控告警</w:t>
            </w:r>
          </w:p>
        </w:tc>
      </w:tr>
      <w:tr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安全苛求场景 (医药/化工)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🔴 很高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需安全认证、功能安全 (IEC 61508)</w:t>
            </w:r>
          </w:p>
        </w:tc>
      </w:tr>
      <w:tr>
        <w:tc>
          <w:tcPr>
            <w:tcW w:type="dxa" w:w="3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客户要求成熟商业产品</w:t>
            </w:r>
          </w:p>
        </w:tc>
        <w:tc>
          <w:tcPr>
            <w:tcW w:type="dxa" w:w="12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🔴 很高</w:t>
            </w:r>
          </w:p>
        </w:tc>
        <w:tc>
          <w:tcPr>
            <w:tcW w:type="dxa" w:w="4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建议选择极智嘉、海康或仙工</w:t>
            </w:r>
          </w:p>
        </w:tc>
      </w:tr>
    </w:tbl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九、改进路线图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9.1 短期优化 (1-3个月)</w:t>
      </w:r>
    </w:p>
    <w:p>
      <w:pPr>
        <w:spacing w:after="100" w:before="200"/>
      </w:pPr>
      <w:r>
        <w:rPr>
          <w:rFonts w:ascii="宋体" w:cs="宋体" w:eastAsia="宋体" w:hAnsi="宋体"/>
          <w:b/>
          <w:bCs/>
          <w:color w:val="2E75B6"/>
          <w:sz w:val="24"/>
          <w:szCs w:val="24"/>
        </w:rPr>
        <w:t xml:space="preserve">优先级P0 - 生产就绪基础: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引入 Redis 缓存层 (3天) - 响应速度提升10倍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补充单元测试-核心算法 (5天) - 建立回归信心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 Docker Compose 生产配置 (2天) - 一键部署能力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API文档 (Swagger/OpenAPI) (2天) - 集成便利性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V1-Hyper参数默认值调优 (3天) - 分配率 0% → 60%+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9.2 中期演进 (3-6个月)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3"/>
        <w:gridCol w:w="2506"/>
        <w:gridCol w:w="5917"/>
      </w:tblGrid>
      <w:tr>
        <w:tc>
          <w:tcPr>
            <w:tcW w:type="dxa" w:w="60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改进方向</w:t>
            </w:r>
          </w:p>
        </w:tc>
        <w:tc>
          <w:tcPr>
            <w:tcW w:type="dxa" w:w="5917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具体内容 &amp; 目标能力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微服务拆分</w:t>
            </w:r>
          </w:p>
        </w:tc>
        <w:tc>
          <w:tcPr>
            <w:tcW w:type="dxa" w:w="59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调度引擎/地图服务/评估服务独立部署 - 目标: 海康RCS架构级别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消息队列集成</w:t>
            </w:r>
          </w:p>
        </w:tc>
        <w:tc>
          <w:tcPr>
            <w:tcW w:type="dxa" w:w="59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Kafka/RabbitMQ 异步任务处理 - 行业标准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GPU 推理加速</w:t>
            </w:r>
          </w:p>
        </w:tc>
        <w:tc>
          <w:tcPr>
            <w:tcW w:type="dxa" w:w="59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ONNX Runtime + TensorRT - 目标: RL推理 &lt;1ms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3D 可视化升级</w:t>
            </w:r>
          </w:p>
        </w:tc>
        <w:tc>
          <w:tcPr>
            <w:tcW w:type="dxa" w:w="59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Three.js/Babylon.js 数字孜生 - 目标: 极智嘉G-Studio级别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VDA 5050 协议支持</w:t>
            </w:r>
          </w:p>
        </w:tc>
        <w:tc>
          <w:tcPr>
            <w:tcW w:type="dxa" w:w="59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第三方AGV品牌适配 - 目标: SEER异构调度能力</w:t>
            </w:r>
          </w:p>
        </w:tc>
      </w:tr>
      <w:tr>
        <w:tc>
          <w:tcPr>
            <w:tcW w:type="dxa" w:w="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RL模型持续学习</w:t>
            </w:r>
          </w:p>
        </w:tc>
        <w:tc>
          <w:tcPr>
            <w:tcW w:type="dxa" w:w="59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 在线 Fine-tuning机制 - 行业前沿能力</w:t>
            </w:r>
          </w:p>
        </w:tc>
      </w:tr>
    </w:tbl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9.3 长期愿景 (6-12个月)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云原生: Kubernetes Operator + Helm Chart - 自动扩缩容能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数字孜生: Unity/Unreal渲染 + 物理仿真 - 高端项目竞争力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多租户 SaaS: 租户隔离 + 用量计费 - 商业化路径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行业解决方案包: 电商/制造/医药预配置 - 快速交付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开放算法市场: 第三方算法插件机制 - 生态构建</w:t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十、结论与建议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10.1 总体评价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default">AgvTms是一个"算法密度极高"的AGV调度系统原型。其核心竞争力体现在: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算法广度: 6种调度算法(包抹RL)在行业中罕见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算法深度: MIP三层协调 + 拉格朗日松弛达到研究生/博士论文水平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完整性: 全链条连接 训练 → 评估 → 部署 → 监控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独特性: 输送线协同 + NLP优化是明显的市场差异化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10.2 最终评分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63"/>
        <w:gridCol w:w="1763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评估维度</w:t>
            </w:r>
          </w:p>
        </w:tc>
        <w:tc>
          <w:tcPr>
            <w:tcW w:type="dxa" w:w="176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得分 (/10)</w:t>
            </w:r>
          </w:p>
        </w:tc>
        <w:tc>
          <w:tcPr>
            <w:tcW w:type="dxa" w:w="176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加权得分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算法创新性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9.0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2.25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功能完整度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6.5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工程质量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1.10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易用性 / 文档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5.0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商业化潜力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6.0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总分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1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B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6.60 / 10</w:t>
            </w:r>
          </w:p>
        </w:tc>
      </w:tr>
    </w:tbl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default">绍定等级: B+ (高于平均，具备突出亮点的成长型产品)</w:t>
      </w:r>
    </w:p>
    <w:p>
      <w:pPr>
        <w:pStyle w:val="Heading2"/>
        <w:spacing w:after="150" w:before="300"/>
      </w:pPr>
      <w:r>
        <w:rPr>
          <w:rFonts w:ascii="宋体" w:cs="宋体" w:eastAsia="宋体" w:hAnsi="宋体"/>
          <w:b/>
          <w:bCs/>
          <w:color w:val="1F4E79"/>
          <w:sz w:val="28"/>
          <w:szCs w:val="28"/>
        </w:rPr>
        <w:t xml:space="preserve">10.3 一句话总结</w:t>
      </w:r>
    </w:p>
    <w:p>
      <w:pPr>
        <w:spacing w:after="100" w:before="100"/>
        <w:jc w:val="left"/>
      </w:pPr>
      <w:r>
        <w:rPr>
          <w:rFonts w:ascii="宋体" w:cs="宋体" w:eastAsia="宋体" w:hAnsi="宋体"/>
          <w:color w:val="333333"/>
          <w:sz w:val="22"/>
          <w:szCs w:val="22"/>
        </w:rPr>
        <w:t xml:space="default">AgvTms在AGV调度算法领域的研究深度和创新性方面已达到行业前列水平，特别是在RL应用、输送线协同、多层优化等方面形成了独特的技术壁垒。若能补齐工程化、可视化和部署运维等方面的短板，完全有潜力成为中小企业市场和学术领域的首选AGV调度解决方案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附录 A: 参考资源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极智嘉 Geek+: https://www.geekplus.com/en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海康机器人 RCS: https://blog.csdn.net/HW18296412587/article/details/153929862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涇柕创新: https://www.hairobotics.cn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仙工智能 SEER: https://www.seer-robot.com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 RCS技术架构: https://jishuzhan.net/article/2040011738065145857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宋体" w:cs="宋体" w:eastAsia="宋体" w:hAnsi="宋体"/>
          <w:sz w:val="22"/>
          <w:szCs w:val="22"/>
        </w:rPr>
        <w:t xml:space="preserve"> 2026大厂商横评: https://www.sohu.com/a/1015725815_122741106</w:t>
      </w:r>
    </w:p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附录 B: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4013"/>
        <w:gridCol w:w="3209"/>
      </w:tblGrid>
      <w:tr>
        <w:tc>
          <w:tcPr>
            <w:tcW w:type="dxa" w:w="18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tcW w:type="dxa" w:w="40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英文全称</w:t>
            </w:r>
          </w:p>
        </w:tc>
        <w:tc>
          <w:tcPr>
            <w:tcW w:type="dxa" w:w="3209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中文解释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AGV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Automated Guided Vehicle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自动引导运输车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AMR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Autonomous Mobile Robot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自主移动机器人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TMS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Transportation Management System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运输管理系统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RCS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Robot Control System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机器人控制系统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MIP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Mixed Integer Programming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混合整数规划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CP-SAT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Constraint Programming - Satisfiability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约束规划满足问题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RL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Reinforcement Learning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强化学习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DQN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Deep Q-Network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深度Q网络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PPO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Proximal Policy Optimization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近端策略优化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ACO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Ant Colony Optimization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蚁群优化算法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SA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Simulated Annealing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模拟退火算法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SIPP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Safe Interval Path Planning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安全间隔路径规划</w:t>
            </w:r>
          </w:p>
        </w:tc>
      </w:tr>
      <w:tr>
        <w:tc>
          <w:tcPr>
            <w:tcW w:type="dxa" w:w="18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SLAM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Simultaneous Localization and Mapping</w:t>
            </w:r>
          </w:p>
        </w:tc>
        <w:tc>
          <w:tcPr>
            <w:tcW w:type="dxa" w:w="32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同步定低与建图</w:t>
            </w:r>
          </w:p>
        </w:tc>
      </w:tr>
    </w:tbl>
    <w:p>
      <w:pPr>
        <w:pStyle w:val="Heading1"/>
        <w:spacing w:after="200" w:before="400"/>
      </w:pPr>
      <w:r>
        <w:rPr>
          <w:rFonts w:ascii="宋体" w:cs="宋体" w:eastAsia="宋体" w:hAnsi="宋体"/>
          <w:b/>
          <w:bCs/>
          <w:color w:val="2E75B6"/>
          <w:sz w:val="32"/>
          <w:szCs w:val="32"/>
        </w:rPr>
        <w:t xml:space="preserve">附录 C: 版本信息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报告版本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生成日期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2026-06-15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分析对象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AgvTms main branch (最新代码)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对比基准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2025-2026主流AGV调度产品公开信息</w:t>
            </w:r>
          </w:p>
        </w:tc>
      </w:tr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声明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0"/>
                <w:szCs w:val="20"/>
              </w:rPr>
              <w:t xml:space="preserve">商东产品参数来源于公开资料；仅供研究参考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宋体" w:cs="宋体" w:eastAsia="宋体" w:hAnsi="宋体"/>
          <w:i/>
          <w:iCs/>
          <w:color w:val="999999"/>
          <w:sz w:val="20"/>
          <w:szCs w:val="20"/>
        </w:rPr>
        <w:t xml:space="preserve">--- 报告完结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 | 机密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i/>
        <w:iCs/>
        <w:color w:val="666666"/>
        <w:sz w:val="18"/>
        <w:szCs w:val="18"/>
      </w:rPr>
      <w:t xml:space="preserve">AGV-TMS 产品系统对比分析报告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宋体" w:cs="宋体" w:eastAsia="宋体" w:hAnsi="宋体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宋体" w:cs="宋体" w:eastAsia="宋体" w:hAnsi="宋体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宋体" w:cs="宋体" w:eastAsia="宋体" w:hAnsi="宋体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2026-06-15T05:05:44.094Z</dcterms:created>
  <dcterms:modified xsi:type="dcterms:W3CDTF">2026-06-15T05:05:44.095Z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