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Erin</w:t>
      </w:r>
    </w:p>
    <w:p>
      <w:r>
        <w:t>Assigned to: Natasha</w:t>
      </w:r>
    </w:p>
    <w:p>
      <w:r>
        <w:t>Reporting Month: March 2025</w:t>
      </w:r>
    </w:p>
    <w:p/>
    <w:p>
      <w:pPr>
        <w:pStyle w:val="Heading1"/>
      </w:pPr>
      <w:r>
        <w:t>Results and Discussion</w:t>
      </w:r>
    </w:p>
    <w:p>
      <w:r>
        <w:br w:type="page"/>
      </w:r>
    </w:p>
    <w:p>
      <w:pPr>
        <w:pStyle w:val="Heading1"/>
      </w:pPr>
      <w:r>
        <w:t>Appendix A: SGS Tables &amp; Graphs</w:t>
      </w:r>
    </w:p>
    <w:p>
      <w:pPr>
        <w:pStyle w:val="Heading2"/>
      </w:pPr>
      <w:r>
        <w:t>Raw Sewage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TKN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10-Jan-25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194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37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80.1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24-Jan-25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170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42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82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06-Feb-25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74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48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41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21-Feb-25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14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20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9.7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07-Mar-25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198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60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77.1</w:t>
            </w:r>
          </w:p>
        </w:tc>
      </w:tr>
      <w:tr>
        <w:tc>
          <w:tcPr>
            <w:tcW w:type="dxa" w:w="2160"/>
          </w:tcPr>
          <w:p>
            <w:pPr>
              <w:spacing w:before="0" w:after="0"/>
            </w:pPr>
            <w:r>
              <w:t>21-Mar-25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199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69</w:t>
            </w:r>
          </w:p>
        </w:tc>
        <w:tc>
          <w:tcPr>
            <w:tcW w:type="dxa" w:w="2160"/>
          </w:tcPr>
          <w:p>
            <w:pPr>
              <w:spacing w:before="0" w:after="0"/>
            </w:pPr>
            <w:r>
              <w:t>92.4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Biofilter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10-Jan-25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39.1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40.51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07-Mar-25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36.7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38.06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WaterNOx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10-Jan-25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37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7.13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2.66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12.09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07-Mar-25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21.9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0.41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26.21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Polisher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10-Jan-25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13.6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0.44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15.04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24-Jan-25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4.4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5.74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06-Feb-25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6.61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7.24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21-Feb-25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11.6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12.53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07-Mar-25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0.7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26.1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27.13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21-Mar-25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26.5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28.44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Appendix B: Flow Data — March 2025</w:t>
      </w:r>
    </w:p>
    <w:p>
      <w:pPr>
        <w:pStyle w:val="Heading2"/>
      </w:pPr>
      <w:r>
        <w:t>Mar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2944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*Smart Panel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6084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7186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12516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1970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6685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6603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5693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9219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9117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13023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9191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4332100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9009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9009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4334809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2709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2709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4349935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15126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15126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4361467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4374949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13482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13482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4390525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15576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15576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4390525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193439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6909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