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2.5.36</w:t>
            </w:r>
          </w:p>
        </w:tc>
        <w:tc>
          <w:tcPr>
            <w:tcW w:type="dxa" w:w="2527"/>
            <w:tcMar>
              <w:top w:type="dxa" w:w="80"/>
              <w:left w:type="dxa" w:w="120"/>
              <w:bottom w:type="dxa" w:w="80"/>
              <w:right w:type="dxa" w:w="120"/>
            </w:tcMar>
          </w:tcPr>
          <w:p>
            <w:pPr>
              <w:spacing w:after="0"/>
            </w:pPr>
            <w:r>
              <w:rPr>
                <w:b w:val="false"/>
                <w:bCs w:val="false"/>
                <w:sz w:val="19"/>
                <w:szCs w:val="19"/>
              </w:rPr>
              <w:t xml:space="preserve">14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14 Oktober 2026 (versi 2.5.36);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