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2.5.31</w:t>
            </w:r>
          </w:p>
        </w:tc>
        <w:tc>
          <w:tcPr>
            <w:tcW w:type="dxa" w:w="2527"/>
            <w:tcMar>
              <w:top w:type="dxa" w:w="80"/>
              <w:left w:type="dxa" w:w="120"/>
              <w:bottom w:type="dxa" w:w="80"/>
              <w:right w:type="dxa" w:w="120"/>
            </w:tcMar>
          </w:tcPr>
          <w:p>
            <w:pPr>
              <w:spacing w:after="0"/>
            </w:pPr>
            <w:r>
              <w:rPr>
                <w:b w:val="false"/>
                <w:bCs w:val="false"/>
                <w:sz w:val="19"/>
                <w:szCs w:val="19"/>
              </w:rPr>
              <w:t xml:space="preserve">13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13 Oktober 2026 (versi 2.5.31);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