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w:t>
            </w:r>
          </w:p>
        </w:tc>
        <w:tc>
          <w:tcPr>
            <w:tcW w:type="dxa" w:w="2527"/>
            <w:tcMar>
              <w:top w:type="dxa" w:w="80"/>
              <w:left w:type="dxa" w:w="120"/>
              <w:bottom w:type="dxa" w:w="80"/>
              <w:right w:type="dxa" w:w="120"/>
            </w:tcMar>
          </w:tcPr>
          <w:p>
            <w:pPr>
              <w:spacing w:after="0"/>
            </w:pPr>
            <w:r>
              <w:rPr>
                <w:b w:val="false"/>
                <w:bCs w:val="false"/>
                <w:sz w:val="19"/>
                <w:szCs w:val="19"/>
              </w:rPr>
              <w:t xml:space="preserve">1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 — 1 Oktober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