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2.5.13</w:t>
            </w:r>
          </w:p>
        </w:tc>
        <w:tc>
          <w:tcPr>
            <w:tcW w:type="dxa" w:w="2527"/>
            <w:tcMar>
              <w:top w:type="dxa" w:w="80"/>
              <w:left w:type="dxa" w:w="120"/>
              <w:bottom w:type="dxa" w:w="80"/>
              <w:right w:type="dxa" w:w="120"/>
            </w:tcMar>
          </w:tcPr>
          <w:p>
            <w:pPr>
              <w:spacing w:after="0"/>
            </w:pPr>
            <w:r>
              <w:rPr>
                <w:b w:val="false"/>
                <w:bCs w:val="false"/>
                <w:sz w:val="19"/>
                <w:szCs w:val="19"/>
              </w:rPr>
              <w:t xml:space="preserve">6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sebagai naskah dinas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Menu Buat Usulan Perjadin (1) membuka pilihan jalur; pilih yang sesuai, misalnya Perjalanan Luar Kota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supervisi di dalam kota, misalnya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6 Oktober 2026 (versi 2.5.13);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