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2.5.3</w:t>
            </w:r>
          </w:p>
        </w:tc>
        <w:tc>
          <w:tcPr>
            <w:tcW w:type="dxa" w:w="2527"/>
            <w:tcMar>
              <w:top w:type="dxa" w:w="80"/>
              <w:left w:type="dxa" w:w="120"/>
              <w:bottom w:type="dxa" w:w="80"/>
              <w:right w:type="dxa" w:w="120"/>
            </w:tcMar>
          </w:tcPr>
          <w:p>
            <w:pPr>
              <w:spacing w:after="0"/>
            </w:pPr>
            <w:r>
              <w:rPr>
                <w:b w:val="false"/>
                <w:bCs w:val="false"/>
                <w:sz w:val="19"/>
                <w:szCs w:val="19"/>
              </w:rPr>
              <w:t xml:space="preserve">21 September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dari aplikasi (opsional).</w:t>
      </w:r>
      <w:r>
        <w:rPr>
          <w:color w:val="55616F"/>
        </w:rPr>
        <w:t xml:space="preserve">  Bila ada, tujuan, tanggal, maksud, dan nomor SPD Anda terisi sendiri dari SPD yang dipilih. Bila SPD itu sudah melampirkan surat tugas, berkas dan nomor surat tugasnya ikut diambil — tidak perlu diunggah maupun disalin lagi. Bila tidak ada, lewati dan isi data perjalanan secara manual, termasuk mengunggah surat tugas beserta nomornya.</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16 September 2026 (versi 2.5.2);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