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2.5.20</w:t>
            </w:r>
          </w:p>
        </w:tc>
        <w:tc>
          <w:tcPr>
            <w:tcW w:type="dxa" w:w="2527"/>
            <w:tcMar>
              <w:top w:type="dxa" w:w="80"/>
              <w:left w:type="dxa" w:w="120"/>
              <w:bottom w:type="dxa" w:w="80"/>
              <w:right w:type="dxa" w:w="120"/>
            </w:tcMar>
          </w:tcPr>
          <w:p>
            <w:pPr>
              <w:spacing w:after="0"/>
            </w:pPr>
            <w:r>
              <w:rPr>
                <w:b w:val="false"/>
                <w:bCs w:val="false"/>
                <w:sz w:val="19"/>
                <w:szCs w:val="19"/>
              </w:rPr>
              <w:t xml:space="preserve">8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8 Oktober 2026 (versi 2.5.20);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