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2.5.37</w:t>
            </w:r>
          </w:p>
        </w:tc>
        <w:tc>
          <w:tcPr>
            <w:tcW w:type="dxa" w:w="2527"/>
            <w:tcMar>
              <w:top w:type="dxa" w:w="80"/>
              <w:left w:type="dxa" w:w="120"/>
              <w:bottom w:type="dxa" w:w="80"/>
              <w:right w:type="dxa" w:w="120"/>
            </w:tcMar>
          </w:tcPr>
          <w:p>
            <w:pPr>
              <w:spacing w:after="0"/>
            </w:pPr>
            <w:r>
              <w:rPr>
                <w:b w:val="false"/>
                <w:bCs w:val="false"/>
                <w:sz w:val="19"/>
                <w:szCs w:val="19"/>
              </w:rPr>
              <w:t xml:space="preserve">14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14 Oktober 2026 (versi 2.5.37);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