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2.5.42</w:t>
            </w:r>
          </w:p>
        </w:tc>
        <w:tc>
          <w:tcPr>
            <w:tcW w:type="dxa" w:w="2527"/>
            <w:tcMar>
              <w:top w:type="dxa" w:w="80"/>
              <w:left w:type="dxa" w:w="120"/>
              <w:bottom w:type="dxa" w:w="80"/>
              <w:right w:type="dxa" w:w="120"/>
            </w:tcMar>
          </w:tcPr>
          <w:p>
            <w:pPr>
              <w:spacing w:after="0"/>
            </w:pPr>
            <w:r>
              <w:rPr>
                <w:b w:val="false"/>
                <w:bCs w:val="false"/>
                <w:sz w:val="19"/>
                <w:szCs w:val="19"/>
              </w:rPr>
              <w:t xml:space="preserve">15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15 Oktober 2026 (versi 2.5.42);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