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2.5.14</w:t>
            </w:r>
          </w:p>
        </w:tc>
        <w:tc>
          <w:tcPr>
            <w:tcW w:type="dxa" w:w="2527"/>
            <w:tcMar>
              <w:top w:type="dxa" w:w="80"/>
              <w:left w:type="dxa" w:w="120"/>
              <w:bottom w:type="dxa" w:w="80"/>
              <w:right w:type="dxa" w:w="120"/>
            </w:tcMar>
          </w:tcPr>
          <w:p>
            <w:pPr>
              <w:spacing w:after="0"/>
            </w:pPr>
            <w:r>
              <w:rPr>
                <w:b w:val="false"/>
                <w:bCs w:val="false"/>
                <w:sz w:val="19"/>
                <w:szCs w:val="19"/>
              </w:rPr>
              <w:t xml:space="preserve">6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6 Oktober 2026 (versi 2.5.14);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