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2.5.30</w:t>
            </w:r>
          </w:p>
        </w:tc>
        <w:tc>
          <w:tcPr>
            <w:tcW w:type="dxa" w:w="2527"/>
            <w:tcMar>
              <w:top w:type="dxa" w:w="80"/>
              <w:left w:type="dxa" w:w="120"/>
              <w:bottom w:type="dxa" w:w="80"/>
              <w:right w:type="dxa" w:w="120"/>
            </w:tcMar>
          </w:tcPr>
          <w:p>
            <w:pPr>
              <w:spacing w:after="0"/>
            </w:pPr>
            <w:r>
              <w:rPr>
                <w:b w:val="false"/>
                <w:bCs w:val="false"/>
                <w:sz w:val="19"/>
                <w:szCs w:val="19"/>
              </w:rPr>
              <w:t xml:space="preserve">13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13 Oktober 2026 (versi 2.5.30);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