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2.5.23</w:t>
            </w:r>
          </w:p>
        </w:tc>
        <w:tc>
          <w:tcPr>
            <w:tcW w:type="dxa" w:w="2527"/>
            <w:tcMar>
              <w:top w:type="dxa" w:w="80"/>
              <w:left w:type="dxa" w:w="120"/>
              <w:bottom w:type="dxa" w:w="80"/>
              <w:right w:type="dxa" w:w="120"/>
            </w:tcMar>
          </w:tcPr>
          <w:p>
            <w:pPr>
              <w:spacing w:after="0"/>
            </w:pPr>
            <w:r>
              <w:rPr>
                <w:b w:val="false"/>
                <w:bCs w:val="false"/>
                <w:sz w:val="19"/>
                <w:szCs w:val="19"/>
              </w:rPr>
              <w:t xml:space="preserve">9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lewat uang muka, atau dibayar pelaksana dahulu sehingga diganti saat pelunasan dan masuk sisa bayar.</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komponen lewat uang muka,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9 Oktober 2026 (versi 2.5.23);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