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2.5.12</w:t>
            </w:r>
          </w:p>
        </w:tc>
        <w:tc>
          <w:tcPr>
            <w:tcW w:type="dxa" w:w="2527"/>
            <w:tcMar>
              <w:top w:type="dxa" w:w="80"/>
              <w:left w:type="dxa" w:w="120"/>
              <w:bottom w:type="dxa" w:w="80"/>
              <w:right w:type="dxa" w:w="120"/>
            </w:tcMar>
          </w:tcPr>
          <w:p>
            <w:pPr>
              <w:spacing w:after="0"/>
            </w:pPr>
            <w:r>
              <w:rPr>
                <w:b w:val="false"/>
                <w:bCs w:val="false"/>
                <w:sz w:val="19"/>
                <w:szCs w:val="19"/>
              </w:rPr>
              <w:t xml:space="preserve">6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dokumennya sudah berformat SRIKANDI, jadi penanda ${nomor_naskah}, ${ttd_pengirim1}, dan ${ttd_pengirim2} jangan diubah atau dihapus; (2) masukkan dokumen itu ke SRIKANDI sebagai naskah dinas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Perjalanan Luar Kota, atau Supervisi Kerja Praktek / Magang. Pilihan itu menyaring kategori perjalanan dinas pada formulir dan menentukan berkas yang diminta.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Menu Buat Usulan Perjadin (1) membuka pilihan jalur; pilih yang sesuai, misalnya Perjalanan Luar Kota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Kotak konfirmasi memuat ringkasan isian (1); tekan Ya, Kirim (2) untuk mengajukan.</w:t>
      </w:r>
    </w:p>
    <w:p>
      <w:pPr>
        <w:spacing w:before="60" w:after="160"/>
      </w:pPr>
      <w:r>
        <w:t xml:space="preserve">Usulan yang terkirim langsung tampil pada Daftar Usulan Perjadin berstatus Konfirmasi, beserta tahap berikutnya yang sedang ditunggu — biasanya pembayaran uang muka.</w:t>
      </w:r>
    </w:p>
    <w:p>
      <w:pPr>
        <w:keepNext/>
        <w:spacing w:before="160" w:after="80"/>
        <w:jc w:val="center"/>
      </w:pPr>
      <w:r>
        <w:drawing>
          <wp:inline distT="0" distB="0" distL="0" distR="0">
            <wp:extent cx="5400000" cy="34668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4668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Pesan berhasil (1), nomor usulan (2), dan statusnya (3) pada Daftar Usulan Perjadin.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ketiga jalur pengajuan: dalam kota, luar kota, dan supervisi kerja praktek / magang.</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supervisi di dalam kota, misalnya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6 Oktober 2026 (versi 2.5.12);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