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2.5.8</w:t>
            </w:r>
          </w:p>
        </w:tc>
        <w:tc>
          <w:tcPr>
            <w:tcW w:type="dxa" w:w="2527"/>
            <w:tcMar>
              <w:top w:type="dxa" w:w="80"/>
              <w:left w:type="dxa" w:w="120"/>
              <w:bottom w:type="dxa" w:w="80"/>
              <w:right w:type="dxa" w:w="120"/>
            </w:tcMar>
          </w:tcPr>
          <w:p>
            <w:pPr>
              <w:spacing w:after="0"/>
            </w:pPr>
            <w:r>
              <w:rPr>
                <w:b w:val="false"/>
                <w:bCs w:val="false"/>
                <w:sz w:val="19"/>
                <w:szCs w:val="19"/>
              </w:rPr>
              <w:t xml:space="preserve">1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Ajukan SPD yang sudah diunduh untuk ditandatangani PPK dan Direktur lewat SRIKANDI. Berkas SPD bertanda tangan itulah yang diunggah saat mengajukan usulan perjalanan dinas (bagian 5.2).</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maksud, dan nomor SPD Anda terisi sendiri dari SPD yang dipilih. Bila SPD itu sudah melampirkan surat tugas, berkas dan nomor surat tugasnya ikut diambil — tidak perlu diunggah maupun disalin lagi. Bila tidak ada, lewati dan isi data perjalanan secara manual, termasuk mengunggah surat tugas beserta nomornya.</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 Oktober 2026 (versi 2.5.8);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