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2.5.35</w:t>
            </w:r>
          </w:p>
        </w:tc>
        <w:tc>
          <w:tcPr>
            <w:tcW w:type="dxa" w:w="2527"/>
            <w:tcMar>
              <w:top w:type="dxa" w:w="80"/>
              <w:left w:type="dxa" w:w="120"/>
              <w:bottom w:type="dxa" w:w="80"/>
              <w:right w:type="dxa" w:w="120"/>
            </w:tcMar>
          </w:tcPr>
          <w:p>
            <w:pPr>
              <w:spacing w:after="0"/>
            </w:pPr>
            <w:r>
              <w:rPr>
                <w:b w:val="false"/>
                <w:bCs w:val="false"/>
                <w:sz w:val="19"/>
                <w:szCs w:val="19"/>
              </w:rPr>
              <w:t xml:space="preserve">14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14 Oktober 2026 (versi 2.5.35);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