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2.5.16</w:t>
            </w:r>
          </w:p>
        </w:tc>
        <w:tc>
          <w:tcPr>
            <w:tcW w:type="dxa" w:w="2527"/>
            <w:tcMar>
              <w:top w:type="dxa" w:w="80"/>
              <w:left w:type="dxa" w:w="120"/>
              <w:bottom w:type="dxa" w:w="80"/>
              <w:right w:type="dxa" w:w="120"/>
            </w:tcMar>
          </w:tcPr>
          <w:p>
            <w:pPr>
              <w:spacing w:after="0"/>
            </w:pPr>
            <w:r>
              <w:rPr>
                <w:b w:val="false"/>
                <w:bCs w:val="false"/>
                <w:sz w:val="19"/>
                <w:szCs w:val="19"/>
              </w:rPr>
              <w:t xml:space="preserve">8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8 Oktober 2026 (versi 2.5.16);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