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2.5.46</w:t>
            </w:r>
          </w:p>
        </w:tc>
        <w:tc>
          <w:tcPr>
            <w:tcW w:type="dxa" w:w="2527"/>
            <w:tcMar>
              <w:top w:type="dxa" w:w="80"/>
              <w:left w:type="dxa" w:w="120"/>
              <w:bottom w:type="dxa" w:w="80"/>
              <w:right w:type="dxa" w:w="120"/>
            </w:tcMar>
          </w:tcPr>
          <w:p>
            <w:pPr>
              <w:spacing w:after="0"/>
            </w:pPr>
            <w:r>
              <w:rPr>
                <w:b w:val="false"/>
                <w:bCs w:val="false"/>
                <w:sz w:val="19"/>
                <w:szCs w:val="19"/>
              </w:rPr>
              <w:t xml:space="preserve">22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22 Oktober 2026 (versi 2.5.46);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