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2.5.26</w:t>
            </w:r>
          </w:p>
        </w:tc>
        <w:tc>
          <w:tcPr>
            <w:tcW w:type="dxa" w:w="2527"/>
            <w:tcMar>
              <w:top w:type="dxa" w:w="80"/>
              <w:left w:type="dxa" w:w="120"/>
              <w:bottom w:type="dxa" w:w="80"/>
              <w:right w:type="dxa" w:w="120"/>
            </w:tcMar>
          </w:tcPr>
          <w:p>
            <w:pPr>
              <w:spacing w:after="0"/>
            </w:pPr>
            <w:r>
              <w:rPr>
                <w:b w:val="false"/>
                <w:bCs w:val="false"/>
                <w:sz w:val="19"/>
                <w:szCs w:val="19"/>
              </w:rPr>
              <w:t xml:space="preserve">12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 perjalanannya umumnya lewat darat.</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daftar Usulan Perjadin semua pegawai;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12 Oktober 2026 (versi 2.5.26);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