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2.5.25</w:t>
            </w:r>
          </w:p>
        </w:tc>
        <w:tc>
          <w:tcPr>
            <w:tcW w:type="dxa" w:w="2527"/>
            <w:tcMar>
              <w:top w:type="dxa" w:w="80"/>
              <w:left w:type="dxa" w:w="120"/>
              <w:bottom w:type="dxa" w:w="80"/>
              <w:right w:type="dxa" w:w="120"/>
            </w:tcMar>
          </w:tcPr>
          <w:p>
            <w:pPr>
              <w:spacing w:after="0"/>
            </w:pPr>
            <w:r>
              <w:rPr>
                <w:b w:val="false"/>
                <w:bCs w:val="false"/>
                <w:sz w:val="19"/>
                <w:szCs w:val="19"/>
              </w:rPr>
              <w:t xml:space="preserve">12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KU.02.04 – Belanja Modal</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KU.02.04 (4),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 perjalanannya umumnya lewat darat.</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daftar Usulan Perjadin semua pegawai;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12 Oktober 2026 (versi 2.5.25);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