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2.5.38</w:t>
            </w:r>
          </w:p>
        </w:tc>
        <w:tc>
          <w:tcPr>
            <w:tcW w:type="dxa" w:w="2527"/>
            <w:tcMar>
              <w:top w:type="dxa" w:w="80"/>
              <w:left w:type="dxa" w:w="120"/>
              <w:bottom w:type="dxa" w:w="80"/>
              <w:right w:type="dxa" w:w="120"/>
            </w:tcMar>
          </w:tcPr>
          <w:p>
            <w:pPr>
              <w:spacing w:after="0"/>
            </w:pPr>
            <w:r>
              <w:rPr>
                <w:b w:val="false"/>
                <w:bCs w:val="false"/>
                <w:sz w:val="19"/>
                <w:szCs w:val="19"/>
              </w:rPr>
              <w:t xml:space="preserve">14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14 Oktober 2026 (versi 2.5.38);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