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2.5.24</w:t>
            </w:r>
          </w:p>
        </w:tc>
        <w:tc>
          <w:tcPr>
            <w:tcW w:type="dxa" w:w="2527"/>
            <w:tcMar>
              <w:top w:type="dxa" w:w="80"/>
              <w:left w:type="dxa" w:w="120"/>
              <w:bottom w:type="dxa" w:w="80"/>
              <w:right w:type="dxa" w:w="120"/>
            </w:tcMar>
          </w:tcPr>
          <w:p>
            <w:pPr>
              <w:spacing w:after="0"/>
            </w:pPr>
            <w:r>
              <w:rPr>
                <w:b w:val="false"/>
                <w:bCs w:val="false"/>
                <w:sz w:val="19"/>
                <w:szCs w:val="19"/>
              </w:rPr>
              <w:t xml:space="preserve">12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lewat uang muka, atau dibayar pelaksana dahulu sehingga diganti saat pelunasan dan masuk sisa bayar.</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komponen lewat uang muka,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daftar Usulan Perjadin semua pegawai;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12 Oktober 2026 (versi 2.5.24);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