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2.5.22</w:t>
            </w:r>
          </w:p>
        </w:tc>
        <w:tc>
          <w:tcPr>
            <w:tcW w:type="dxa" w:w="2527"/>
            <w:tcMar>
              <w:top w:type="dxa" w:w="80"/>
              <w:left w:type="dxa" w:w="120"/>
              <w:bottom w:type="dxa" w:w="80"/>
              <w:right w:type="dxa" w:w="120"/>
            </w:tcMar>
          </w:tcPr>
          <w:p>
            <w:pPr>
              <w:spacing w:after="0"/>
            </w:pPr>
            <w:r>
              <w:rPr>
                <w:b w:val="false"/>
                <w:bCs w:val="false"/>
                <w:sz w:val="19"/>
                <w:szCs w:val="19"/>
              </w:rPr>
              <w:t xml:space="preserve">8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lewat uang muka, atau dibayar pelaksana dahulu sehingga diganti saat pelunasan dan masuk sisa bayar.</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komponen lewat uang muka,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8 Oktober 2026 (versi 2.5.22);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