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2.5.5</w:t>
            </w:r>
          </w:p>
        </w:tc>
        <w:tc>
          <w:tcPr>
            <w:tcW w:type="dxa" w:w="2527"/>
            <w:tcMar>
              <w:top w:type="dxa" w:w="80"/>
              <w:left w:type="dxa" w:w="120"/>
              <w:bottom w:type="dxa" w:w="80"/>
              <w:right w:type="dxa" w:w="120"/>
            </w:tcMar>
          </w:tcPr>
          <w:p>
            <w:pPr>
              <w:spacing w:after="0"/>
            </w:pPr>
            <w:r>
              <w:rPr>
                <w:b w:val="false"/>
                <w:bCs w:val="false"/>
                <w:sz w:val="19"/>
                <w:szCs w:val="19"/>
              </w:rPr>
              <w:t xml:space="preserve">1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Jalur supervisi tidak memakai SPD — cukup surat tugas beserta nomornya, dan jenis kegiatannya terisi sendiri. Formulir menyimpan sendiri isian Anda di peramban.</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