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2.5.45</w:t>
            </w:r>
          </w:p>
        </w:tc>
        <w:tc>
          <w:tcPr>
            <w:tcW w:type="dxa" w:w="2527"/>
            <w:tcMar>
              <w:top w:type="dxa" w:w="80"/>
              <w:left w:type="dxa" w:w="120"/>
              <w:bottom w:type="dxa" w:w="80"/>
              <w:right w:type="dxa" w:w="120"/>
            </w:tcMar>
          </w:tcPr>
          <w:p>
            <w:pPr>
              <w:spacing w:after="0"/>
            </w:pPr>
            <w:r>
              <w:rPr>
                <w:b w:val="false"/>
                <w:bCs w:val="false"/>
                <w:sz w:val="19"/>
                <w:szCs w:val="19"/>
              </w:rPr>
              <w:t xml:space="preserve">22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 Hak Mengubah jalur perjalanan dinas (Usulan Perjadin → Ubah) memunculkan tombol Ubah Jalur Perjadin pada detail usulan untuk memindahkan usulan yang salah jalur — misalnya lintas pulau yang terlanjur diajukan lewat jalur dalam satu provinsi — beserta kategorinya; alasannya wajib, tercatat pada jejak audit, dan dikabarkan kepada pelaksana.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2.5.45 — 22 Oktober 2026</w:t>
      </w:r>
    </w:p>
    <w:p>
      <w:pPr>
        <w:pStyle w:val="ListParagraph"/>
        <w:numPr>
          <w:ilvl w:val="0"/>
          <w:numId w:val="2"/>
        </w:numPr>
      </w:pPr>
      <w:r>
        <w:t xml:space="preserve">Hak akses Mengubah jalur perjalanan dinas: tombol Ubah Jalur Perjadin pada detail usulan memindahkan usulan yang salah jalur beserta kategorinya, dengan alasan yang tercatat dan dikabarkan kepada pelaksana.</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22 Oktober 2026 (versi 2.5.45);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