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w:t>
            </w:r>
          </w:p>
        </w:tc>
        <w:tc>
          <w:tcPr>
            <w:tcW w:type="dxa" w:w="2527"/>
            <w:tcMar>
              <w:top w:type="dxa" w:w="80"/>
              <w:left w:type="dxa" w:w="120"/>
              <w:bottom w:type="dxa" w:w="80"/>
              <w:right w:type="dxa" w:w="120"/>
            </w:tcMar>
          </w:tcPr>
          <w:p>
            <w:pPr>
              <w:spacing w:after="0"/>
            </w:pPr>
            <w:r>
              <w:rPr>
                <w:b w:val="false"/>
                <w:bCs w:val="false"/>
                <w:sz w:val="19"/>
                <w:szCs w:val="19"/>
              </w:rPr>
              <w:t xml:space="preserve">16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bila tidak ada, lewati dan isi data perjalanan secara manual.</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