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2.5.43</w:t>
            </w:r>
          </w:p>
        </w:tc>
        <w:tc>
          <w:tcPr>
            <w:tcW w:type="dxa" w:w="2527"/>
            <w:tcMar>
              <w:top w:type="dxa" w:w="80"/>
              <w:left w:type="dxa" w:w="120"/>
              <w:bottom w:type="dxa" w:w="80"/>
              <w:right w:type="dxa" w:w="120"/>
            </w:tcMar>
          </w:tcPr>
          <w:p>
            <w:pPr>
              <w:spacing w:after="0"/>
            </w:pPr>
            <w:r>
              <w:rPr>
                <w:b w:val="false"/>
                <w:bCs w:val="false"/>
                <w:sz w:val="19"/>
                <w:szCs w:val="19"/>
              </w:rPr>
              <w:t xml:space="preserve">19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19 Oktober 2026 (versi 2.5.43);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