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2.5.19</w:t>
            </w:r>
          </w:p>
        </w:tc>
        <w:tc>
          <w:tcPr>
            <w:tcW w:type="dxa" w:w="2527"/>
            <w:tcMar>
              <w:top w:type="dxa" w:w="80"/>
              <w:left w:type="dxa" w:w="120"/>
              <w:bottom w:type="dxa" w:w="80"/>
              <w:right w:type="dxa" w:w="120"/>
            </w:tcMar>
          </w:tcPr>
          <w:p>
            <w:pPr>
              <w:spacing w:after="0"/>
            </w:pPr>
            <w:r>
              <w:rPr>
                <w:b w:val="false"/>
                <w:bCs w:val="false"/>
                <w:sz w:val="19"/>
                <w:szCs w:val="19"/>
              </w:rPr>
              <w:t xml:space="preserve">8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daftar Usulan Perjadin semua pegawai; menyunting dan menghapus tetap hanya bagi pelaksana, pembuat, atau peserta usulannya.</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supervisi di dalam kota, misalnya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8 Oktober 2026 (versi 2.5.19);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