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2.5.40</w:t>
            </w:r>
          </w:p>
        </w:tc>
        <w:tc>
          <w:tcPr>
            <w:tcW w:type="dxa" w:w="2527"/>
            <w:tcMar>
              <w:top w:type="dxa" w:w="80"/>
              <w:left w:type="dxa" w:w="120"/>
              <w:bottom w:type="dxa" w:w="80"/>
              <w:right w:type="dxa" w:w="120"/>
            </w:tcMar>
          </w:tcPr>
          <w:p>
            <w:pPr>
              <w:spacing w:after="0"/>
            </w:pPr>
            <w:r>
              <w:rPr>
                <w:b w:val="false"/>
                <w:bCs w:val="false"/>
                <w:sz w:val="19"/>
                <w:szCs w:val="19"/>
              </w:rPr>
              <w:t xml:space="preserve">14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Tombol Cek Nomor Surat Tugas memeriksa apakah nomornya sudah pernah diunggah; bila sudah dan kolom berkasnya dibiarkan kosong, berkas itulah yang dipakai.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Ketik nomor surat tugasnya lalu tekan Cek Nomor Surat Tugas: bila surat tugas bernomor sama sudah pernah diunggah rekan seperjalanan — pada usulan maupun SPD — berkasnya dipakai otomatis; bila belum, unggah berkasnya. Surat tugas yang ditemukan mengunci kolom unggahnya supaya tidak tertimpa berkas lain.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p>
      <w:r>
        <w:t xml:space="preserve">Berkas rombongan cukup diunggah sekali: ketik nomor tiket, nomor transaksi hotel, atau nomor invoice biaya penyelenggaraan lalu tekan tombol Cek. Bila rekan sudah mengunggahnya, invoice tiket — beserta kota asal, kota tujuan, dan kode booking — bill hotel dan kuitansinya, atau bukti bayar penyelenggaraan dipakai otomatis. Harga tiket, nominal, dan boarding pass tetap diisi masing-masing; bila nomornya belum ada, unggah berkasnya seperti biasa. Begitu berkasnya ditemukan, kolom unggahnya dikunci supaya berkas rombongan tidak tertimpa berkas lain — kecuali bagi pengunggah aslinya, yang tetap dapat membetulkan berkasnya sendiri. Ubah nomornya bila berkas Anda memang berbeda.</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serta nota transport lokal — perjalanannya umumnya lewat darat. Nota / bukti transport lokal hanya ditagih pada perjalanan luar kota lintas pulau; jalur lain tidak memiliki transport lokal, sehingga daftar pengeluaran riilnya kosong, tidak perlu ditandatangani, dan berkasnya langsung dapat masuk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pada perjalanan luar kota lintas pulau, dan hanya untuk ruas yang bernominal; ruas tanpa biaya dikosongkan, dan perjalanan tanpa transport lokal sama sekali tetap dapat selesai.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 Submenu Surat Tugas &amp; Dokumen mendaftar tiap nomor surat tugas beserta berkasnya, siapa yang pertama mengunggah, dan usulan serta SPD yang memakainya.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Secara bawaan nota transportasi hanya ditagih pada jalur luar kota lintas pulau.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2.5.40 — 14 Oktober 2026</w:t>
      </w:r>
    </w:p>
    <w:p>
      <w:pPr>
        <w:pStyle w:val="ListParagraph"/>
        <w:numPr>
          <w:ilvl w:val="0"/>
          <w:numId w:val="2"/>
        </w:numPr>
      </w:pPr>
      <w:r>
        <w:t xml:space="preserve">Berkas yang ditemukan tombol Cek mengunci kolom unggahnya supaya berkas rombongan tidak tertimpa berkas lain; pengunggah aslinya tetap dapat membetulkan berkasnya sendiri.</w:t>
      </w:r>
    </w:p>
    <w:p>
      <w:pPr>
        <w:pStyle w:val="Heading2"/>
      </w:pPr>
      <w:r>
        <w:t xml:space="preserve">Versi 2.5.39 — 14 Oktober 2026</w:t>
      </w:r>
    </w:p>
    <w:p>
      <w:pPr>
        <w:pStyle w:val="ListParagraph"/>
        <w:numPr>
          <w:ilvl w:val="0"/>
          <w:numId w:val="2"/>
        </w:numPr>
      </w:pPr>
      <w:r>
        <w:t xml:space="preserve">Tombol Cek Nomor Tiket, Cek Nomor Transaksi, dan Cek Nomor Invoice pada dokumen pertanggungjawaban memakai berkas rombongan yang sudah diunggah rekan; harga, nominal, dan boarding pass tetap masing-masing.</w:t>
      </w:r>
    </w:p>
    <w:p>
      <w:pPr>
        <w:pStyle w:val="Heading2"/>
      </w:pPr>
      <w:r>
        <w:t xml:space="preserve">Versi 2.5.38 — 14 Oktober 2026</w:t>
      </w:r>
    </w:p>
    <w:p>
      <w:pPr>
        <w:pStyle w:val="ListParagraph"/>
        <w:numPr>
          <w:ilvl w:val="0"/>
          <w:numId w:val="2"/>
        </w:numPr>
      </w:pPr>
      <w:r>
        <w:t xml:space="preserve">Nota / bukti biaya transportasi hanya diminta pada perjalanan luar kota lintas pulau; jalur lain langsung dapat masuk daftar nominatif tanpa daftar pengeluaran riil.</w:t>
      </w:r>
    </w:p>
    <w:p>
      <w:pPr>
        <w:pStyle w:val="Heading2"/>
      </w:pPr>
      <w:r>
        <w:t xml:space="preserve">Versi 2.5.37 — 14 Oktober 2026</w:t>
      </w:r>
    </w:p>
    <w:p>
      <w:pPr>
        <w:pStyle w:val="ListParagraph"/>
        <w:numPr>
          <w:ilvl w:val="0"/>
          <w:numId w:val="2"/>
        </w:numPr>
      </w:pPr>
      <w:r>
        <w:t xml:space="preserve">Tombol Cek Nomor Surat Tugas pada formulir usulan perjadin dan SPD: surat tugas bernomor sama yang sudah pernah diunggah dipakai otomatis tanpa unggah ulang.</w:t>
      </w:r>
    </w:p>
    <w:p>
      <w:pPr>
        <w:pStyle w:val="ListParagraph"/>
        <w:numPr>
          <w:ilvl w:val="0"/>
          <w:numId w:val="2"/>
        </w:numPr>
      </w:pPr>
      <w:r>
        <w:t xml:space="preserve">Jejak Audit → Surat Tugas &amp; Dokumen: tiap nomor surat tugas beserta berkasnya, pengunggah pertama, serta usulan dan SPD yang memakainya.</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14 Oktober 2026 (versi 2.5.40);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