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w:t>
            </w:r>
          </w:p>
        </w:tc>
        <w:tc>
          <w:tcPr>
            <w:tcW w:type="dxa" w:w="2527"/>
            <w:tcMar>
              <w:top w:type="dxa" w:w="80"/>
              <w:left w:type="dxa" w:w="120"/>
              <w:bottom w:type="dxa" w:w="80"/>
              <w:right w:type="dxa" w:w="120"/>
            </w:tcMar>
          </w:tcPr>
          <w:p>
            <w:pPr>
              <w:spacing w:after="0"/>
            </w:pPr>
            <w:r>
              <w:rPr>
                <w:b w:val="false"/>
                <w:bCs w:val="false"/>
                <w:sz w:val="19"/>
                <w:szCs w:val="19"/>
              </w:rPr>
              <w:t xml:space="preserve">21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Pegawai eksternal dan mahasiswa/outsourcing: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