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2.5.32</w:t>
            </w:r>
          </w:p>
        </w:tc>
        <w:tc>
          <w:tcPr>
            <w:tcW w:type="dxa" w:w="2527"/>
            <w:tcMar>
              <w:top w:type="dxa" w:w="80"/>
              <w:left w:type="dxa" w:w="120"/>
              <w:bottom w:type="dxa" w:w="80"/>
              <w:right w:type="dxa" w:w="120"/>
            </w:tcMar>
          </w:tcPr>
          <w:p>
            <w:pPr>
              <w:spacing w:after="0"/>
            </w:pPr>
            <w:r>
              <w:rPr>
                <w:b w:val="false"/>
                <w:bCs w:val="false"/>
                <w:sz w:val="19"/>
                <w:szCs w:val="19"/>
              </w:rPr>
              <w:t xml:space="preserve">13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 perjalanannya umumnya lewat darat.</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13 Oktober 2026 (versi 2.5.32);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